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CDE2" w14:textId="1E16378D" w:rsidR="00044A9C" w:rsidRPr="00AF629B" w:rsidRDefault="00044A9C" w:rsidP="00044A9C">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2F7771" w:rsidRPr="002F7771">
        <w:rPr>
          <w:b/>
          <w:noProof/>
          <w:sz w:val="24"/>
        </w:rPr>
        <w:t>R4-2219791</w:t>
      </w:r>
    </w:p>
    <w:p w14:paraId="730545E8" w14:textId="3E7F2421" w:rsidR="001F6272" w:rsidRPr="006B30DF" w:rsidRDefault="00044A9C" w:rsidP="00044A9C">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BCF2AC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2919CB" w:rsidRPr="002919CB">
        <w:rPr>
          <w:rFonts w:cs="Arial"/>
          <w:sz w:val="22"/>
          <w:szCs w:val="22"/>
          <w:lang w:val="en-US"/>
        </w:rPr>
        <w:t>On IoT NTN UE RF requirement due to doppler pre-compensation</w:t>
      </w:r>
    </w:p>
    <w:p w14:paraId="51BD89B7" w14:textId="5973C586" w:rsidR="001F6272" w:rsidRPr="00DC3E48" w:rsidRDefault="001F6272" w:rsidP="001F6272">
      <w:pPr>
        <w:spacing w:after="0"/>
        <w:rPr>
          <w:rFonts w:cs="Arial"/>
          <w:sz w:val="22"/>
          <w:szCs w:val="22"/>
          <w:lang w:val="en-US"/>
        </w:rPr>
      </w:pPr>
      <w:r w:rsidRPr="00DC3E48">
        <w:rPr>
          <w:rFonts w:cs="Arial"/>
          <w:b/>
          <w:sz w:val="22"/>
          <w:szCs w:val="22"/>
          <w:lang w:val="en-US"/>
        </w:rPr>
        <w:t>Agenda item:</w:t>
      </w:r>
      <w:r w:rsidRPr="00DC3E48">
        <w:rPr>
          <w:rFonts w:cs="Arial"/>
          <w:sz w:val="22"/>
          <w:szCs w:val="22"/>
          <w:lang w:val="en-US"/>
        </w:rPr>
        <w:tab/>
      </w:r>
      <w:r w:rsidRPr="00DC3E48">
        <w:rPr>
          <w:rFonts w:cs="Arial"/>
          <w:sz w:val="22"/>
          <w:szCs w:val="22"/>
          <w:lang w:val="en-US"/>
        </w:rPr>
        <w:tab/>
      </w:r>
      <w:r w:rsidR="00B83FE2">
        <w:rPr>
          <w:rFonts w:cs="Arial"/>
          <w:sz w:val="22"/>
          <w:szCs w:val="22"/>
          <w:lang w:val="en-US"/>
        </w:rPr>
        <w:t>9.5.1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bookmarkStart w:id="0" w:name="_Ref118733503"/>
      <w:r w:rsidRPr="00F102E6">
        <w:t>Introduction</w:t>
      </w:r>
      <w:bookmarkEnd w:id="0"/>
    </w:p>
    <w:p w14:paraId="5A49C3A4" w14:textId="3E32E3B3" w:rsidR="00C213BA" w:rsidRPr="00AE5052" w:rsidRDefault="002919CB" w:rsidP="00C213BA">
      <w:pPr>
        <w:rPr>
          <w:rFonts w:asciiTheme="minorHAnsi" w:hAnsiTheme="minorHAnsi" w:cstheme="minorHAnsi"/>
          <w:lang w:eastAsia="zh-TW"/>
        </w:rPr>
      </w:pPr>
      <w:r>
        <w:t xml:space="preserve">The RF requirement tested with zero doppler pre-compensation is agreed for NTN. </w:t>
      </w:r>
      <w:r w:rsidR="00DE515F">
        <w:t xml:space="preserve"> But there is still unclearness on how the network deploy the spectrum considering the maximum doppler frequency and relation to the regulatory requirement.</w:t>
      </w:r>
    </w:p>
    <w:p w14:paraId="43D57A75" w14:textId="590CB7C5" w:rsidR="001232A9" w:rsidRPr="00050E06" w:rsidRDefault="001232A9" w:rsidP="001232A9">
      <w:r w:rsidRPr="00050E06">
        <w:t xml:space="preserve">In this paper, we present our view on </w:t>
      </w:r>
      <w:r w:rsidR="00DE515F">
        <w:t xml:space="preserve">this </w:t>
      </w:r>
      <w:proofErr w:type="spellStart"/>
      <w:r w:rsidR="00DE515F">
        <w:t>apsect</w:t>
      </w:r>
      <w:proofErr w:type="spellEnd"/>
      <w:r w:rsidR="006355E0">
        <w:t>.</w:t>
      </w:r>
    </w:p>
    <w:p w14:paraId="51BE1BFC" w14:textId="4A99E1E2" w:rsidR="00680BEC" w:rsidRDefault="00DC670C" w:rsidP="008B3B96">
      <w:pPr>
        <w:pStyle w:val="Heading1"/>
      </w:pPr>
      <w:r w:rsidRPr="00F102E6">
        <w:t>Discussion</w:t>
      </w:r>
    </w:p>
    <w:p w14:paraId="4A83C7C0" w14:textId="77777777" w:rsidR="003A7A0C" w:rsidRDefault="00DA385F" w:rsidP="002919CB">
      <w:pPr>
        <w:pStyle w:val="Proposal"/>
        <w:numPr>
          <w:ilvl w:val="0"/>
          <w:numId w:val="0"/>
        </w:numPr>
        <w:ind w:left="360" w:hanging="360"/>
        <w:rPr>
          <w:b w:val="0"/>
          <w:bCs/>
          <w:lang w:val="en-CA"/>
        </w:rPr>
      </w:pPr>
      <w:r>
        <w:rPr>
          <w:b w:val="0"/>
          <w:bCs/>
          <w:lang w:val="en-CA"/>
        </w:rPr>
        <w:t xml:space="preserve">There are some regulatory requirements relating to the doppler frequency shift </w:t>
      </w:r>
      <w:r w:rsidR="00787526">
        <w:rPr>
          <w:b w:val="0"/>
          <w:bCs/>
          <w:lang w:val="en-CA"/>
        </w:rPr>
        <w:t>for the NTN</w:t>
      </w:r>
      <w:r w:rsidR="003A7A0C">
        <w:rPr>
          <w:b w:val="0"/>
          <w:bCs/>
          <w:lang w:val="en-CA"/>
        </w:rPr>
        <w:t xml:space="preserve"> network</w:t>
      </w:r>
      <w:r w:rsidR="00787526">
        <w:rPr>
          <w:b w:val="0"/>
          <w:bCs/>
          <w:lang w:val="en-CA"/>
        </w:rPr>
        <w:t xml:space="preserve">. </w:t>
      </w:r>
    </w:p>
    <w:p w14:paraId="59CB677F" w14:textId="3C92FCA6" w:rsidR="00787526" w:rsidRDefault="00787526" w:rsidP="002919CB">
      <w:pPr>
        <w:pStyle w:val="Proposal"/>
        <w:numPr>
          <w:ilvl w:val="0"/>
          <w:numId w:val="0"/>
        </w:numPr>
        <w:ind w:left="360" w:hanging="360"/>
        <w:rPr>
          <w:b w:val="0"/>
          <w:bCs/>
          <w:lang w:val="en-CA"/>
        </w:rPr>
      </w:pPr>
      <w:r>
        <w:rPr>
          <w:b w:val="0"/>
          <w:bCs/>
          <w:lang w:val="en-CA"/>
        </w:rPr>
        <w:t xml:space="preserve">In </w:t>
      </w:r>
      <w:r w:rsidRPr="00787526">
        <w:rPr>
          <w:b w:val="0"/>
          <w:bCs/>
          <w:lang w:val="en-CA"/>
        </w:rPr>
        <w:t>ITU SM.1541</w:t>
      </w:r>
      <w:r>
        <w:rPr>
          <w:b w:val="0"/>
          <w:bCs/>
          <w:lang w:val="en-CA"/>
        </w:rPr>
        <w:t>, this is reflected in the definition of the assigned frequency band:</w:t>
      </w:r>
    </w:p>
    <w:p w14:paraId="044A47AD" w14:textId="77777777" w:rsidR="00F03EF5" w:rsidRPr="00F03EF5" w:rsidRDefault="00F03EF5" w:rsidP="003A7A0C">
      <w:pPr>
        <w:autoSpaceDE w:val="0"/>
        <w:autoSpaceDN w:val="0"/>
        <w:spacing w:after="0"/>
        <w:ind w:left="360"/>
        <w:rPr>
          <w:rFonts w:eastAsia="DengXian"/>
          <w:color w:val="000000"/>
          <w:sz w:val="23"/>
          <w:szCs w:val="23"/>
        </w:rPr>
      </w:pPr>
      <w:r w:rsidRPr="00F03EF5">
        <w:rPr>
          <w:rFonts w:eastAsia="DengXian"/>
          <w:b/>
          <w:color w:val="000000"/>
          <w:sz w:val="23"/>
          <w:szCs w:val="23"/>
        </w:rPr>
        <w:t xml:space="preserve">Assigned frequency band </w:t>
      </w:r>
    </w:p>
    <w:p w14:paraId="30AC6149" w14:textId="2B930EBD" w:rsidR="00F03EF5" w:rsidRPr="00F03EF5" w:rsidRDefault="00F03EF5" w:rsidP="003A7A0C">
      <w:pPr>
        <w:spacing w:after="0"/>
        <w:ind w:left="360"/>
        <w:rPr>
          <w:rFonts w:ascii="Calibri" w:eastAsia="DengXian" w:hAnsi="Calibri" w:cs="Calibri"/>
          <w:sz w:val="22"/>
          <w:szCs w:val="22"/>
          <w:lang w:val="en-US"/>
        </w:rPr>
      </w:pPr>
      <w:r w:rsidRPr="00F03EF5">
        <w:rPr>
          <w:rFonts w:ascii="Calibri" w:eastAsia="DengXian" w:hAnsi="Calibri" w:cs="Calibri"/>
          <w:b/>
          <w:sz w:val="23"/>
          <w:szCs w:val="23"/>
        </w:rPr>
        <w:t xml:space="preserve">1.147 </w:t>
      </w:r>
      <w:r w:rsidRPr="00F03EF5">
        <w:rPr>
          <w:rFonts w:ascii="Calibri" w:eastAsia="DengXian" w:hAnsi="Calibri" w:cs="Calibri"/>
          <w:i/>
          <w:sz w:val="23"/>
          <w:szCs w:val="23"/>
        </w:rPr>
        <w:t xml:space="preserve">assigned frequency band: </w:t>
      </w:r>
      <w:r w:rsidRPr="00F03EF5">
        <w:rPr>
          <w:rFonts w:ascii="Calibri" w:eastAsia="DengXian" w:hAnsi="Calibri" w:cs="Calibri"/>
          <w:sz w:val="23"/>
          <w:szCs w:val="23"/>
        </w:rPr>
        <w:t xml:space="preserve">The frequency band within which the </w:t>
      </w:r>
      <w:r w:rsidRPr="00F03EF5">
        <w:rPr>
          <w:rFonts w:ascii="Calibri" w:eastAsia="DengXian" w:hAnsi="Calibri" w:cs="Calibri"/>
          <w:i/>
          <w:sz w:val="23"/>
          <w:szCs w:val="23"/>
        </w:rPr>
        <w:t xml:space="preserve">emission </w:t>
      </w:r>
      <w:r w:rsidRPr="00F03EF5">
        <w:rPr>
          <w:rFonts w:ascii="Calibri" w:eastAsia="DengXian" w:hAnsi="Calibri" w:cs="Calibri"/>
          <w:sz w:val="23"/>
          <w:szCs w:val="23"/>
        </w:rPr>
        <w:t xml:space="preserve">of a </w:t>
      </w:r>
      <w:r w:rsidRPr="00F03EF5">
        <w:rPr>
          <w:rFonts w:ascii="Calibri" w:eastAsia="DengXian" w:hAnsi="Calibri" w:cs="Calibri"/>
          <w:i/>
          <w:sz w:val="23"/>
          <w:szCs w:val="23"/>
        </w:rPr>
        <w:t xml:space="preserve">station </w:t>
      </w:r>
      <w:r w:rsidRPr="00F03EF5">
        <w:rPr>
          <w:rFonts w:ascii="Calibri" w:eastAsia="DengXian" w:hAnsi="Calibri" w:cs="Calibri"/>
          <w:sz w:val="23"/>
          <w:szCs w:val="23"/>
        </w:rPr>
        <w:t xml:space="preserve">is authorized; the width of the band equals the </w:t>
      </w:r>
      <w:r w:rsidRPr="00F03EF5">
        <w:rPr>
          <w:rFonts w:ascii="Calibri" w:eastAsia="DengXian" w:hAnsi="Calibri" w:cs="Calibri"/>
          <w:i/>
          <w:sz w:val="23"/>
          <w:szCs w:val="23"/>
        </w:rPr>
        <w:t xml:space="preserve">necessary bandwidth </w:t>
      </w:r>
      <w:r w:rsidRPr="00F03EF5">
        <w:rPr>
          <w:rFonts w:ascii="Calibri" w:eastAsia="DengXian" w:hAnsi="Calibri" w:cs="Calibri"/>
          <w:sz w:val="23"/>
          <w:szCs w:val="23"/>
        </w:rPr>
        <w:t xml:space="preserve">plus twice the absolute value of the </w:t>
      </w:r>
      <w:r w:rsidRPr="00F03EF5">
        <w:rPr>
          <w:rFonts w:ascii="Calibri" w:eastAsia="DengXian" w:hAnsi="Calibri" w:cs="Calibri"/>
          <w:i/>
          <w:sz w:val="23"/>
          <w:szCs w:val="23"/>
        </w:rPr>
        <w:t>frequency tolerance</w:t>
      </w:r>
      <w:r w:rsidRPr="00F03EF5">
        <w:rPr>
          <w:rFonts w:ascii="Calibri" w:eastAsia="DengXian" w:hAnsi="Calibri" w:cs="Calibri"/>
          <w:sz w:val="23"/>
          <w:szCs w:val="23"/>
        </w:rPr>
        <w:t xml:space="preserve">. Where </w:t>
      </w:r>
      <w:r w:rsidRPr="00F03EF5">
        <w:rPr>
          <w:rFonts w:ascii="Calibri" w:eastAsia="DengXian" w:hAnsi="Calibri" w:cs="Calibri"/>
          <w:b/>
          <w:i/>
          <w:sz w:val="23"/>
          <w:szCs w:val="23"/>
          <w:highlight w:val="yellow"/>
          <w:u w:val="single"/>
        </w:rPr>
        <w:t>space stations</w:t>
      </w:r>
      <w:r w:rsidRPr="00F03EF5">
        <w:rPr>
          <w:rFonts w:ascii="Calibri" w:eastAsia="DengXian" w:hAnsi="Calibri" w:cs="Calibri"/>
          <w:i/>
          <w:sz w:val="23"/>
          <w:szCs w:val="23"/>
          <w:highlight w:val="yellow"/>
        </w:rPr>
        <w:t xml:space="preserve"> </w:t>
      </w:r>
      <w:r w:rsidRPr="00F03EF5">
        <w:rPr>
          <w:rFonts w:ascii="Calibri" w:eastAsia="DengXian" w:hAnsi="Calibri" w:cs="Calibri"/>
          <w:sz w:val="23"/>
          <w:szCs w:val="23"/>
          <w:highlight w:val="yellow"/>
        </w:rPr>
        <w:t>are concerned,</w:t>
      </w:r>
      <w:r w:rsidRPr="00F03EF5">
        <w:rPr>
          <w:rFonts w:ascii="Calibri" w:eastAsia="DengXian" w:hAnsi="Calibri" w:cs="Calibri"/>
          <w:sz w:val="23"/>
          <w:szCs w:val="23"/>
        </w:rPr>
        <w:t xml:space="preserve"> </w:t>
      </w:r>
      <w:r w:rsidRPr="00F03EF5">
        <w:rPr>
          <w:rFonts w:ascii="Calibri" w:eastAsia="DengXian" w:hAnsi="Calibri" w:cs="Calibri"/>
          <w:sz w:val="23"/>
          <w:szCs w:val="23"/>
          <w:highlight w:val="yellow"/>
        </w:rPr>
        <w:t>the assigned frequency band includes twice the maximum Doppler shift that may occur in relation to any point of the Earth’s surface</w:t>
      </w:r>
      <w:r w:rsidRPr="00F03EF5">
        <w:rPr>
          <w:rFonts w:ascii="Calibri" w:eastAsia="DengXian" w:hAnsi="Calibri" w:cs="Calibri"/>
          <w:sz w:val="23"/>
          <w:szCs w:val="23"/>
        </w:rPr>
        <w:t>.</w:t>
      </w:r>
    </w:p>
    <w:p w14:paraId="362E0185" w14:textId="53DA5514" w:rsidR="00787526" w:rsidRDefault="00787526" w:rsidP="002919CB">
      <w:pPr>
        <w:pStyle w:val="Proposal"/>
        <w:numPr>
          <w:ilvl w:val="0"/>
          <w:numId w:val="0"/>
        </w:numPr>
        <w:ind w:left="360" w:hanging="360"/>
        <w:rPr>
          <w:b w:val="0"/>
          <w:bCs/>
          <w:lang w:val="en-US"/>
        </w:rPr>
      </w:pPr>
    </w:p>
    <w:p w14:paraId="02F453D0" w14:textId="77777777" w:rsidR="00127507" w:rsidRDefault="00127507" w:rsidP="003A7A0C">
      <w:pPr>
        <w:pStyle w:val="Default"/>
        <w:ind w:left="360"/>
        <w:rPr>
          <w:sz w:val="23"/>
          <w:szCs w:val="23"/>
        </w:rPr>
      </w:pPr>
      <w:r>
        <w:rPr>
          <w:b/>
          <w:bCs/>
          <w:sz w:val="23"/>
          <w:szCs w:val="23"/>
        </w:rPr>
        <w:t xml:space="preserve">1.3.1.1 Location of the adjacent band </w:t>
      </w:r>
    </w:p>
    <w:p w14:paraId="72400E21" w14:textId="77777777" w:rsidR="00127507" w:rsidRDefault="00127507" w:rsidP="003A7A0C">
      <w:pPr>
        <w:pStyle w:val="Default"/>
        <w:ind w:left="360"/>
        <w:rPr>
          <w:sz w:val="23"/>
          <w:szCs w:val="23"/>
        </w:rPr>
      </w:pPr>
      <w:r>
        <w:rPr>
          <w:sz w:val="23"/>
          <w:szCs w:val="23"/>
        </w:rPr>
        <w:t xml:space="preserve">This band is centred on the adjacent assigned frequency band in the allocated band in which the transmitter operates. </w:t>
      </w:r>
    </w:p>
    <w:p w14:paraId="1E6AF158" w14:textId="77777777" w:rsidR="00127507" w:rsidRDefault="00127507" w:rsidP="003A7A0C">
      <w:pPr>
        <w:ind w:left="360"/>
        <w:rPr>
          <w:sz w:val="22"/>
          <w:szCs w:val="22"/>
          <w:lang w:val="en-US"/>
        </w:rPr>
      </w:pPr>
      <w:r>
        <w:rPr>
          <w:sz w:val="23"/>
          <w:szCs w:val="23"/>
        </w:rPr>
        <w:t xml:space="preserve">For worst-case considerations, this band is located closer to the transmitter by an amount equal to that of the permissible frequency drift of the transmitter, </w:t>
      </w:r>
      <w:r>
        <w:rPr>
          <w:sz w:val="23"/>
          <w:szCs w:val="23"/>
          <w:highlight w:val="yellow"/>
        </w:rPr>
        <w:t>plus any Doppler frequency difference</w:t>
      </w:r>
      <w:r>
        <w:rPr>
          <w:sz w:val="23"/>
          <w:szCs w:val="23"/>
        </w:rPr>
        <w:t>.</w:t>
      </w:r>
    </w:p>
    <w:p w14:paraId="58AF8AAC" w14:textId="1A74A58B" w:rsidR="00ED0A7C" w:rsidRDefault="00787526" w:rsidP="002919CB">
      <w:pPr>
        <w:pStyle w:val="Proposal"/>
        <w:numPr>
          <w:ilvl w:val="0"/>
          <w:numId w:val="0"/>
        </w:numPr>
        <w:ind w:left="360" w:hanging="360"/>
        <w:rPr>
          <w:b w:val="0"/>
          <w:bCs/>
          <w:lang w:val="en-CA"/>
        </w:rPr>
      </w:pPr>
      <w:r>
        <w:rPr>
          <w:b w:val="0"/>
          <w:bCs/>
          <w:lang w:val="en-CA"/>
        </w:rPr>
        <w:t xml:space="preserve"> </w:t>
      </w:r>
      <w:r w:rsidR="00351C13">
        <w:rPr>
          <w:b w:val="0"/>
          <w:bCs/>
          <w:lang w:val="en-CA"/>
        </w:rPr>
        <w:t xml:space="preserve">In FCC, the </w:t>
      </w:r>
      <w:r w:rsidR="00197C52">
        <w:rPr>
          <w:b w:val="0"/>
          <w:bCs/>
          <w:lang w:val="en-CA"/>
        </w:rPr>
        <w:t xml:space="preserve">related </w:t>
      </w:r>
      <w:r w:rsidR="005B4C75">
        <w:rPr>
          <w:b w:val="0"/>
          <w:bCs/>
          <w:lang w:val="en-CA"/>
        </w:rPr>
        <w:t>requirement as below:</w:t>
      </w:r>
    </w:p>
    <w:p w14:paraId="21C827DE" w14:textId="6C2A1A0F" w:rsidR="00197C52" w:rsidRDefault="00EB3707" w:rsidP="00197C52">
      <w:pPr>
        <w:pStyle w:val="Heading2"/>
        <w:numPr>
          <w:ilvl w:val="0"/>
          <w:numId w:val="0"/>
        </w:numPr>
        <w:ind w:left="576" w:hanging="576"/>
        <w:rPr>
          <w:lang w:eastAsia="zh-CN"/>
        </w:rPr>
      </w:pPr>
      <w:hyperlink r:id="rId11" w:history="1">
        <w:r w:rsidR="00197C52">
          <w:rPr>
            <w:rStyle w:val="Hyperlink"/>
          </w:rPr>
          <w:t>§ 25.129 Equipment authorization for portable earth-station transceivers.</w:t>
        </w:r>
      </w:hyperlink>
    </w:p>
    <w:p w14:paraId="16AE326A" w14:textId="77777777" w:rsidR="00197C52" w:rsidRDefault="00197C52" w:rsidP="00197C52">
      <w:pPr>
        <w:pStyle w:val="indent-1"/>
        <w:ind w:left="180"/>
      </w:pPr>
      <w:r>
        <w:rPr>
          <w:rStyle w:val="paren"/>
        </w:rPr>
        <w:t>(</w:t>
      </w:r>
      <w:r>
        <w:rPr>
          <w:rStyle w:val="paragraph-hierarchy"/>
        </w:rPr>
        <w:t>a</w:t>
      </w:r>
      <w:r>
        <w:rPr>
          <w:rStyle w:val="paren"/>
        </w:rPr>
        <w:t>)</w:t>
      </w:r>
      <w:r>
        <w:t xml:space="preserve"> Except as expressly permitted by </w:t>
      </w:r>
      <w:hyperlink r:id="rId12" w:history="1">
        <w:r>
          <w:rPr>
            <w:rStyle w:val="Hyperlink"/>
          </w:rPr>
          <w:t>§ 2.803</w:t>
        </w:r>
      </w:hyperlink>
      <w:r>
        <w:t xml:space="preserve"> or </w:t>
      </w:r>
      <w:hyperlink r:id="rId13" w:history="1">
        <w:r>
          <w:rPr>
            <w:rStyle w:val="Hyperlink"/>
          </w:rPr>
          <w:t>§ 2.1204 of this chapter</w:t>
        </w:r>
      </w:hyperlink>
      <w:r>
        <w:t xml:space="preserve">, prior authorization must be obtained pursuant to the equipment certification procedure in </w:t>
      </w:r>
      <w:hyperlink r:id="rId14" w:history="1">
        <w:r>
          <w:rPr>
            <w:rStyle w:val="Hyperlink"/>
          </w:rPr>
          <w:t>part 2, subpart J of this chapter</w:t>
        </w:r>
      </w:hyperlink>
      <w:r>
        <w:t xml:space="preserve"> for importation, sale or lease in the United States, or offer, shipment, or distribution for sale or lease in the United States of portable earth-station transceivers subject to regulation under part 25. This requirement does not apply, however, to devices imported, sold, leased, or offered, shipped, or distributed for sale or lease before November 20, 2004. </w:t>
      </w:r>
    </w:p>
    <w:p w14:paraId="33D0B9EA" w14:textId="77777777" w:rsidR="00197C52" w:rsidRDefault="00197C52" w:rsidP="00197C52">
      <w:pPr>
        <w:pStyle w:val="indent-1"/>
        <w:ind w:left="180"/>
      </w:pPr>
      <w:r>
        <w:rPr>
          <w:rStyle w:val="paren"/>
        </w:rPr>
        <w:t>(</w:t>
      </w:r>
      <w:r>
        <w:rPr>
          <w:rStyle w:val="paragraph-hierarchy"/>
        </w:rPr>
        <w:t>b</w:t>
      </w:r>
      <w:r>
        <w:rPr>
          <w:rStyle w:val="paren"/>
        </w:rPr>
        <w:t>)</w:t>
      </w:r>
      <w:r>
        <w:t xml:space="preserve"> For purposes of this section, an earth-station transceiver is portable if it is a “portable device” as defined in </w:t>
      </w:r>
      <w:hyperlink r:id="rId15" w:anchor="p-2.1093(b)" w:history="1">
        <w:r>
          <w:rPr>
            <w:rStyle w:val="Hyperlink"/>
          </w:rPr>
          <w:t>§ 2.1093(b) of this chapter</w:t>
        </w:r>
      </w:hyperlink>
      <w:r>
        <w:t xml:space="preserve">, </w:t>
      </w:r>
      <w:r>
        <w:rPr>
          <w:rStyle w:val="Emphasis"/>
        </w:rPr>
        <w:t>i.e.,</w:t>
      </w:r>
      <w:r>
        <w:t xml:space="preserve"> if its radiating structure(s) would be within 20 </w:t>
      </w:r>
      <w:proofErr w:type="spellStart"/>
      <w:r>
        <w:t>centimeters</w:t>
      </w:r>
      <w:proofErr w:type="spellEnd"/>
      <w:r>
        <w:t xml:space="preserve"> of the operator's body when the transceiver is in operation. </w:t>
      </w:r>
    </w:p>
    <w:p w14:paraId="697922B1" w14:textId="77777777" w:rsidR="00197C52" w:rsidRDefault="00197C52" w:rsidP="00197C52">
      <w:pPr>
        <w:pStyle w:val="indent-1"/>
        <w:ind w:left="180"/>
      </w:pPr>
      <w:r>
        <w:rPr>
          <w:rStyle w:val="paren"/>
        </w:rPr>
        <w:t>(</w:t>
      </w:r>
      <w:r>
        <w:rPr>
          <w:rStyle w:val="paragraph-hierarchy"/>
        </w:rPr>
        <w:t>c</w:t>
      </w:r>
      <w:r>
        <w:rPr>
          <w:rStyle w:val="paren"/>
        </w:rPr>
        <w:t>)</w:t>
      </w:r>
      <w:r>
        <w:t xml:space="preserve"> In addition to the information required by </w:t>
      </w:r>
      <w:hyperlink r:id="rId16" w:anchor="p-2.1033(c)" w:history="1">
        <w:r>
          <w:rPr>
            <w:rStyle w:val="Hyperlink"/>
          </w:rPr>
          <w:t>§ 2.1033(c) of this chapter</w:t>
        </w:r>
      </w:hyperlink>
      <w:r>
        <w:t xml:space="preserve">, applicants for certification required by this section shall submit any additional equipment test data necessary to demonstrate </w:t>
      </w:r>
      <w:r>
        <w:lastRenderedPageBreak/>
        <w:t xml:space="preserve">compliance with pertinent standards for transmitter performance prescribed in </w:t>
      </w:r>
      <w:hyperlink r:id="rId17" w:history="1">
        <w:r>
          <w:rPr>
            <w:rStyle w:val="Hyperlink"/>
          </w:rPr>
          <w:t>§§ 25.138</w:t>
        </w:r>
      </w:hyperlink>
      <w:r>
        <w:t xml:space="preserve">, </w:t>
      </w:r>
      <w:hyperlink r:id="rId18" w:anchor="p-25.202(f)" w:history="1">
        <w:r>
          <w:rPr>
            <w:rStyle w:val="Hyperlink"/>
          </w:rPr>
          <w:t>25.202(f)</w:t>
        </w:r>
      </w:hyperlink>
      <w:r>
        <w:t xml:space="preserve">, </w:t>
      </w:r>
      <w:hyperlink r:id="rId19" w:history="1">
        <w:r>
          <w:rPr>
            <w:rStyle w:val="Hyperlink"/>
          </w:rPr>
          <w:t>25.204</w:t>
        </w:r>
      </w:hyperlink>
      <w:r>
        <w:t xml:space="preserve">, </w:t>
      </w:r>
      <w:hyperlink r:id="rId20" w:history="1">
        <w:r>
          <w:rPr>
            <w:rStyle w:val="Hyperlink"/>
          </w:rPr>
          <w:t>25.209</w:t>
        </w:r>
      </w:hyperlink>
      <w:r>
        <w:t xml:space="preserve">, and </w:t>
      </w:r>
      <w:hyperlink r:id="rId21" w:history="1">
        <w:r>
          <w:rPr>
            <w:rStyle w:val="Hyperlink"/>
          </w:rPr>
          <w:t>25.216</w:t>
        </w:r>
      </w:hyperlink>
      <w:r>
        <w:t xml:space="preserve">, must demonstrate compliance with the </w:t>
      </w:r>
      <w:proofErr w:type="spellStart"/>
      <w:r>
        <w:t>labeling</w:t>
      </w:r>
      <w:proofErr w:type="spellEnd"/>
      <w:r>
        <w:t xml:space="preserve"> requirement in </w:t>
      </w:r>
      <w:hyperlink r:id="rId22" w:anchor="p-25.285(b)" w:history="1">
        <w:r>
          <w:rPr>
            <w:rStyle w:val="Hyperlink"/>
          </w:rPr>
          <w:t>§ 25.285(b)</w:t>
        </w:r>
      </w:hyperlink>
      <w:r>
        <w:t xml:space="preserve">, and shall ensure compliance with the Commission's radio frequency exposure requirements in </w:t>
      </w:r>
      <w:hyperlink r:id="rId23" w:anchor="p-1.1307(b)" w:history="1">
        <w:r>
          <w:rPr>
            <w:rStyle w:val="Hyperlink"/>
          </w:rPr>
          <w:t>§§ 1.1307(b)</w:t>
        </w:r>
      </w:hyperlink>
      <w:r>
        <w:t xml:space="preserve">, </w:t>
      </w:r>
      <w:hyperlink r:id="rId24" w:history="1">
        <w:r>
          <w:rPr>
            <w:rStyle w:val="Hyperlink"/>
          </w:rPr>
          <w:t>2.1091</w:t>
        </w:r>
      </w:hyperlink>
      <w:r>
        <w:t xml:space="preserve">, and </w:t>
      </w:r>
      <w:hyperlink r:id="rId25" w:history="1">
        <w:r>
          <w:rPr>
            <w:rStyle w:val="Hyperlink"/>
          </w:rPr>
          <w:t>2.1093 of this chapter</w:t>
        </w:r>
      </w:hyperlink>
      <w:r>
        <w:t xml:space="preserve">, as appropriate. An Environmental Assessment may be required if RF radiation from the proposed facilities would, in combination with radiation from other sources, cause RF power density or field strength in an accessible area to exceed the applicable limits specified in </w:t>
      </w:r>
      <w:hyperlink r:id="rId26" w:history="1">
        <w:r>
          <w:rPr>
            <w:rStyle w:val="Hyperlink"/>
          </w:rPr>
          <w:t>§ 1.1310 of this chapter</w:t>
        </w:r>
      </w:hyperlink>
      <w:r>
        <w:t xml:space="preserve">. Applications for equipment authorization of mobile or portable devices operating under this section must contain a statement confirming compliance with these requirements. Technical information showing the basis for this statement must be submitted to the Commission upon request. </w:t>
      </w:r>
    </w:p>
    <w:p w14:paraId="6734D496" w14:textId="77777777" w:rsidR="00197C52" w:rsidRDefault="00197C52" w:rsidP="00197C52">
      <w:pPr>
        <w:pStyle w:val="indent-1"/>
        <w:ind w:left="180"/>
      </w:pPr>
      <w:r>
        <w:rPr>
          <w:rStyle w:val="paren"/>
        </w:rPr>
        <w:t>(</w:t>
      </w:r>
      <w:r>
        <w:rPr>
          <w:rStyle w:val="paragraph-hierarchy"/>
        </w:rPr>
        <w:t>d</w:t>
      </w:r>
      <w:r>
        <w:rPr>
          <w:rStyle w:val="paren"/>
        </w:rPr>
        <w:t>)</w:t>
      </w:r>
      <w:r>
        <w:t xml:space="preserve"> Applicants for certification required by this section must submit evidence that the devices in question are designed for use with a satellite system that may lawfully provide service to users in the United States pursuant to an FCC license or order reserving spectrum.</w:t>
      </w:r>
    </w:p>
    <w:p w14:paraId="7B177095" w14:textId="77777777" w:rsidR="00197C52" w:rsidRPr="00197C52" w:rsidRDefault="00197C52" w:rsidP="002919CB">
      <w:pPr>
        <w:pStyle w:val="Proposal"/>
        <w:numPr>
          <w:ilvl w:val="0"/>
          <w:numId w:val="0"/>
        </w:numPr>
        <w:ind w:left="360" w:hanging="360"/>
        <w:rPr>
          <w:b w:val="0"/>
        </w:rPr>
      </w:pPr>
    </w:p>
    <w:p w14:paraId="76B1C104" w14:textId="77777777" w:rsidR="003A7A0C" w:rsidRDefault="00EB3707" w:rsidP="003A7A0C">
      <w:pPr>
        <w:pStyle w:val="Heading2"/>
        <w:numPr>
          <w:ilvl w:val="0"/>
          <w:numId w:val="0"/>
        </w:numPr>
        <w:rPr>
          <w:rFonts w:eastAsia="Times New Roman"/>
          <w:lang w:eastAsia="zh-CN"/>
        </w:rPr>
      </w:pPr>
      <w:hyperlink r:id="rId27" w:history="1">
        <w:r w:rsidR="003A7A0C">
          <w:rPr>
            <w:rStyle w:val="Hyperlink"/>
            <w:rFonts w:eastAsia="Times New Roman"/>
          </w:rPr>
          <w:t>§ 25.142 Licensing provisions for the non-voice, non-geostationary Mobile-Satellite Service.</w:t>
        </w:r>
      </w:hyperlink>
    </w:p>
    <w:p w14:paraId="1C46C0C6" w14:textId="77777777" w:rsidR="003A7A0C" w:rsidRDefault="003A7A0C" w:rsidP="003A7A0C">
      <w:pPr>
        <w:pStyle w:val="indent-1"/>
        <w:ind w:left="360"/>
      </w:pPr>
      <w:r>
        <w:rPr>
          <w:rStyle w:val="paren"/>
        </w:rPr>
        <w:t>(</w:t>
      </w:r>
      <w:r>
        <w:rPr>
          <w:rStyle w:val="paragraph-hierarchy"/>
        </w:rPr>
        <w:t>a</w:t>
      </w:r>
      <w:r>
        <w:rPr>
          <w:rStyle w:val="paren"/>
        </w:rPr>
        <w:t>)</w:t>
      </w:r>
      <w:r>
        <w:t xml:space="preserve"> </w:t>
      </w:r>
      <w:r w:rsidRPr="003A7A0C">
        <w:rPr>
          <w:rStyle w:val="Emphasis"/>
          <w:b/>
          <w:bCs/>
        </w:rPr>
        <w:t>Space station</w:t>
      </w:r>
      <w:r>
        <w:rPr>
          <w:rStyle w:val="Emphasis"/>
          <w:b/>
          <w:bCs/>
        </w:rPr>
        <w:t xml:space="preserve"> application requirements.</w:t>
      </w:r>
      <w:r>
        <w:t xml:space="preserve"> </w:t>
      </w:r>
    </w:p>
    <w:p w14:paraId="615E2B64" w14:textId="77777777" w:rsidR="003A7A0C" w:rsidRDefault="003A7A0C" w:rsidP="003A7A0C">
      <w:pPr>
        <w:pStyle w:val="indent-2"/>
        <w:ind w:left="540"/>
      </w:pPr>
      <w:r>
        <w:rPr>
          <w:rStyle w:val="paren"/>
        </w:rPr>
        <w:t>(</w:t>
      </w:r>
      <w:r>
        <w:rPr>
          <w:rStyle w:val="paragraph-hierarchy"/>
        </w:rPr>
        <w:t>1</w:t>
      </w:r>
      <w:r>
        <w:rPr>
          <w:rStyle w:val="paren"/>
        </w:rPr>
        <w:t>)</w:t>
      </w:r>
      <w:r>
        <w:t xml:space="preserve"> Each application for a space station system authorization in the non-voice, non-geostationary mobile-satellite service shall describe in detail the proposed non-voice, non-geostationary mobile-satellite system, setting forth all pertinent technical and operational aspects of the system, and the technical and legal qualifications of the applicant. </w:t>
      </w:r>
      <w:proofErr w:type="gramStart"/>
      <w:r>
        <w:t>In particular, each</w:t>
      </w:r>
      <w:proofErr w:type="gramEnd"/>
      <w:r>
        <w:t xml:space="preserve"> application shall include the information specified in </w:t>
      </w:r>
      <w:hyperlink r:id="rId28" w:history="1">
        <w:r>
          <w:rPr>
            <w:rStyle w:val="Hyperlink"/>
          </w:rPr>
          <w:t>§ 25.114</w:t>
        </w:r>
      </w:hyperlink>
      <w:r>
        <w:t xml:space="preserve">. Applicants must also file information demonstrating compliance with all requirements of this section, and showing, based on existing system information publicly available at the Commission at the time of filing, that they will not cause unacceptable interference to any non-voice, non-geostationary mobile-satellite service system authorized to construct or operate. </w:t>
      </w:r>
    </w:p>
    <w:p w14:paraId="74B395C2" w14:textId="77777777" w:rsidR="003A7A0C" w:rsidRDefault="003A7A0C" w:rsidP="003A7A0C">
      <w:pPr>
        <w:pStyle w:val="indent-2"/>
        <w:ind w:left="540"/>
      </w:pPr>
      <w:r>
        <w:rPr>
          <w:rStyle w:val="paren"/>
        </w:rPr>
        <w:t>(</w:t>
      </w:r>
      <w:r>
        <w:rPr>
          <w:rStyle w:val="paragraph-hierarchy"/>
        </w:rPr>
        <w:t>2</w:t>
      </w:r>
      <w:r>
        <w:rPr>
          <w:rStyle w:val="paren"/>
        </w:rPr>
        <w:t>)</w:t>
      </w:r>
      <w:r>
        <w:t xml:space="preserve"> Applicants for a non-voice, non-geostationary Mobile-Satellite Service space station license must identify the power flux density produced at the Earth's surface by each space station of their system in the 137-138 MHz and 400.15-401 MHz bands, to allow determination of whether coordination with terrestrial services is required under any applicable footnote to the Table of Frequency Allocations in </w:t>
      </w:r>
      <w:hyperlink r:id="rId29" w:history="1">
        <w:r>
          <w:rPr>
            <w:rStyle w:val="Hyperlink"/>
          </w:rPr>
          <w:t>§ 2.106 of this chapter</w:t>
        </w:r>
      </w:hyperlink>
      <w:r>
        <w:t xml:space="preserve">. In addition, applicants must identify the measures they would employ to protect the radio astronomy service in the 150.05-153 MHz and 406.1-410 MHz bands from harmful interference from unwanted emissions. </w:t>
      </w:r>
    </w:p>
    <w:p w14:paraId="28852C0A" w14:textId="77777777" w:rsidR="003A7A0C" w:rsidRDefault="003A7A0C" w:rsidP="003A7A0C">
      <w:pPr>
        <w:pStyle w:val="indent-2"/>
        <w:ind w:left="540"/>
      </w:pPr>
      <w:r>
        <w:rPr>
          <w:rStyle w:val="paren"/>
        </w:rPr>
        <w:t>(</w:t>
      </w:r>
      <w:r>
        <w:rPr>
          <w:rStyle w:val="paragraph-hierarchy"/>
        </w:rPr>
        <w:t>3</w:t>
      </w:r>
      <w:r>
        <w:rPr>
          <w:rStyle w:val="paren"/>
        </w:rPr>
        <w:t>)</w:t>
      </w:r>
      <w:r>
        <w:t xml:space="preserve"> Emission limitations. </w:t>
      </w:r>
    </w:p>
    <w:p w14:paraId="17F73927" w14:textId="77777777" w:rsidR="003A7A0C" w:rsidRDefault="003A7A0C" w:rsidP="003A7A0C">
      <w:pPr>
        <w:pStyle w:val="indent-3"/>
        <w:ind w:left="720"/>
      </w:pPr>
      <w:r>
        <w:rPr>
          <w:rStyle w:val="paren"/>
        </w:rPr>
        <w:t>(</w:t>
      </w:r>
      <w:r>
        <w:rPr>
          <w:rStyle w:val="paragraph-hierarchy"/>
        </w:rPr>
        <w:t>i</w:t>
      </w:r>
      <w:r>
        <w:rPr>
          <w:rStyle w:val="paren"/>
        </w:rPr>
        <w:t>)</w:t>
      </w:r>
      <w:r>
        <w:t xml:space="preserve"> Applicants in the non-voice, non-geostationary mobile-satellite service shall show that their space stations will not exceed the emission limitations of </w:t>
      </w:r>
      <w:hyperlink r:id="rId30" w:anchor="p-25.202(f)(1)" w:history="1">
        <w:r>
          <w:rPr>
            <w:rStyle w:val="Hyperlink"/>
          </w:rPr>
          <w:t>§ 25.202(f) (1)</w:t>
        </w:r>
      </w:hyperlink>
      <w:r>
        <w:t xml:space="preserve">, </w:t>
      </w:r>
      <w:hyperlink r:id="rId31" w:anchor="p-25.202(f)(2)" w:history="1">
        <w:r>
          <w:rPr>
            <w:rStyle w:val="Hyperlink"/>
          </w:rPr>
          <w:t>(2)</w:t>
        </w:r>
      </w:hyperlink>
      <w:r>
        <w:t xml:space="preserve"> and </w:t>
      </w:r>
      <w:hyperlink r:id="rId32" w:anchor="p-25.202(f)(3)" w:history="1">
        <w:r>
          <w:rPr>
            <w:rStyle w:val="Hyperlink"/>
          </w:rPr>
          <w:t>(3)</w:t>
        </w:r>
      </w:hyperlink>
      <w:r>
        <w:t xml:space="preserve">, as calculated for a fixed point on the Earth's surface in the plane of the space station's orbit, considering the worst-case frequency tolerance of all frequency determining components, and </w:t>
      </w:r>
      <w:r>
        <w:rPr>
          <w:highlight w:val="yellow"/>
        </w:rPr>
        <w:t>maximum positive and negative Doppler shift of both the uplink and downlink signals, taking into account the system design.</w:t>
      </w:r>
    </w:p>
    <w:p w14:paraId="02584585" w14:textId="77777777" w:rsidR="003A7A0C" w:rsidRPr="005B4C75" w:rsidRDefault="003A7A0C" w:rsidP="005B4C75">
      <w:pPr>
        <w:pStyle w:val="Heading2"/>
        <w:numPr>
          <w:ilvl w:val="0"/>
          <w:numId w:val="0"/>
        </w:numPr>
        <w:rPr>
          <w:rStyle w:val="Hyperlink"/>
          <w:rFonts w:eastAsia="Times New Roman"/>
        </w:rPr>
      </w:pPr>
      <w:r w:rsidRPr="005B4C75">
        <w:rPr>
          <w:rStyle w:val="Hyperlink"/>
          <w:rFonts w:eastAsia="Times New Roman"/>
        </w:rPr>
        <w:t>47 CFR § 2.1 - Terms and definitions.</w:t>
      </w:r>
    </w:p>
    <w:p w14:paraId="48D50252" w14:textId="7BE3B335" w:rsidR="003A7A0C" w:rsidRDefault="003A7A0C" w:rsidP="005B4C75">
      <w:pPr>
        <w:pStyle w:val="indent-2"/>
        <w:ind w:left="540"/>
      </w:pPr>
      <w:r w:rsidRPr="005B4C75">
        <w:t>Assigned Frequency Band. The frequency band within which the </w:t>
      </w:r>
      <w:hyperlink r:id="rId33" w:history="1">
        <w:r w:rsidRPr="005B4C75">
          <w:t>emission</w:t>
        </w:r>
      </w:hyperlink>
      <w:r w:rsidRPr="005B4C75">
        <w:t> of a </w:t>
      </w:r>
      <w:hyperlink r:id="rId34" w:history="1">
        <w:r w:rsidRPr="005B4C75">
          <w:t>station</w:t>
        </w:r>
      </w:hyperlink>
      <w:r w:rsidRPr="005B4C75">
        <w:t> is authorized; the width of the band equals the </w:t>
      </w:r>
      <w:hyperlink r:id="rId35" w:history="1">
        <w:r w:rsidRPr="005B4C75">
          <w:t>necessary bandwidth</w:t>
        </w:r>
      </w:hyperlink>
      <w:r w:rsidRPr="005B4C75">
        <w:t> plus twice the absolute value of the </w:t>
      </w:r>
      <w:hyperlink r:id="rId36" w:history="1">
        <w:r w:rsidRPr="005B4C75">
          <w:t>frequency tolerance</w:t>
        </w:r>
      </w:hyperlink>
      <w:r w:rsidRPr="005B4C75">
        <w:t xml:space="preserve">. </w:t>
      </w:r>
      <w:r w:rsidRPr="005B4C75">
        <w:rPr>
          <w:highlight w:val="yellow"/>
        </w:rPr>
        <w:t>Where </w:t>
      </w:r>
      <w:hyperlink r:id="rId37" w:history="1">
        <w:r w:rsidRPr="005B4C75">
          <w:rPr>
            <w:highlight w:val="yellow"/>
          </w:rPr>
          <w:t>space stations</w:t>
        </w:r>
      </w:hyperlink>
      <w:r w:rsidRPr="005B4C75">
        <w:rPr>
          <w:highlight w:val="yellow"/>
        </w:rPr>
        <w:t> are concerned, the </w:t>
      </w:r>
      <w:hyperlink r:id="rId38" w:history="1">
        <w:r w:rsidRPr="005B4C75">
          <w:rPr>
            <w:highlight w:val="yellow"/>
          </w:rPr>
          <w:t>assigned frequency band</w:t>
        </w:r>
      </w:hyperlink>
      <w:r w:rsidRPr="005B4C75">
        <w:rPr>
          <w:highlight w:val="yellow"/>
        </w:rPr>
        <w:t> includes twice the maximum Doppler shift that may occur in relation to any point of the Earth's surface.</w:t>
      </w:r>
      <w:r w:rsidRPr="005B4C75">
        <w:t xml:space="preserve"> </w:t>
      </w:r>
    </w:p>
    <w:p w14:paraId="5C42C24C" w14:textId="1414006C" w:rsidR="002919CB" w:rsidRDefault="002919CB" w:rsidP="002919CB">
      <w:pPr>
        <w:pStyle w:val="Proposal"/>
        <w:numPr>
          <w:ilvl w:val="0"/>
          <w:numId w:val="0"/>
        </w:numPr>
        <w:ind w:left="360" w:hanging="360"/>
        <w:rPr>
          <w:b w:val="0"/>
          <w:bCs/>
          <w:lang w:val="en-CA"/>
        </w:rPr>
      </w:pPr>
    </w:p>
    <w:p w14:paraId="5593FA03" w14:textId="092D6F26" w:rsidR="00FC1981" w:rsidRDefault="004061FA" w:rsidP="004061FA">
      <w:pPr>
        <w:pStyle w:val="Observation"/>
        <w:rPr>
          <w:lang w:val="en-CA"/>
        </w:rPr>
      </w:pPr>
      <w:bookmarkStart w:id="1" w:name="_Ref118733466"/>
      <w:r>
        <w:rPr>
          <w:lang w:val="en-CA"/>
        </w:rPr>
        <w:lastRenderedPageBreak/>
        <w:t xml:space="preserve">In both FCC and ITU regulatory requirement, the maximum doppler frequency </w:t>
      </w:r>
      <w:r w:rsidR="00FC1981">
        <w:rPr>
          <w:lang w:val="en-CA"/>
        </w:rPr>
        <w:t>should be taking account in space stations. There is no such consideration in the earth stations.</w:t>
      </w:r>
      <w:r w:rsidR="001411CC">
        <w:rPr>
          <w:lang w:val="en-CA"/>
        </w:rPr>
        <w:t xml:space="preserve"> Meaning the UE shall not transmit outside its assigned channel.</w:t>
      </w:r>
      <w:bookmarkEnd w:id="1"/>
    </w:p>
    <w:p w14:paraId="614E7610" w14:textId="572CA232" w:rsidR="00720395" w:rsidRDefault="00031A1E" w:rsidP="004061FA">
      <w:pPr>
        <w:pStyle w:val="Observation"/>
        <w:rPr>
          <w:lang w:val="en-CA"/>
        </w:rPr>
      </w:pPr>
      <w:bookmarkStart w:id="2" w:name="_Ref118733477"/>
      <w:r>
        <w:rPr>
          <w:lang w:val="en-CA"/>
        </w:rPr>
        <w:t xml:space="preserve">In FCC 25.142, the emission requirement </w:t>
      </w:r>
      <w:r w:rsidR="00720395">
        <w:rPr>
          <w:lang w:val="en-CA"/>
        </w:rPr>
        <w:t xml:space="preserve">should be met considering the worst-case frequency tolerance </w:t>
      </w:r>
      <w:r w:rsidR="000F5722">
        <w:rPr>
          <w:lang w:val="en-CA"/>
        </w:rPr>
        <w:t>with</w:t>
      </w:r>
      <w:r w:rsidR="00720395">
        <w:rPr>
          <w:lang w:val="en-CA"/>
        </w:rPr>
        <w:t xml:space="preserve"> the maximum positive and negative doppler shift.</w:t>
      </w:r>
      <w:bookmarkEnd w:id="2"/>
    </w:p>
    <w:p w14:paraId="2A905482" w14:textId="77777777" w:rsidR="00720395" w:rsidRDefault="00720395" w:rsidP="00720395">
      <w:pPr>
        <w:pStyle w:val="Observation"/>
        <w:numPr>
          <w:ilvl w:val="0"/>
          <w:numId w:val="0"/>
        </w:numPr>
        <w:rPr>
          <w:lang w:val="en-CA"/>
        </w:rPr>
      </w:pPr>
    </w:p>
    <w:p w14:paraId="7EB018AC" w14:textId="77777777" w:rsidR="00343B3B" w:rsidRDefault="0059002C" w:rsidP="00720395">
      <w:pPr>
        <w:pStyle w:val="Observation"/>
        <w:numPr>
          <w:ilvl w:val="0"/>
          <w:numId w:val="0"/>
        </w:numPr>
        <w:rPr>
          <w:b w:val="0"/>
          <w:bCs w:val="0"/>
          <w:lang w:val="en-CA"/>
        </w:rPr>
      </w:pPr>
      <w:r>
        <w:rPr>
          <w:b w:val="0"/>
          <w:bCs w:val="0"/>
          <w:lang w:val="en-CA"/>
        </w:rPr>
        <w:t xml:space="preserve">The NB-IoT has only 10kHz guard </w:t>
      </w:r>
      <w:r w:rsidR="00EF4702">
        <w:rPr>
          <w:b w:val="0"/>
          <w:bCs w:val="0"/>
          <w:lang w:val="en-CA"/>
        </w:rPr>
        <w:t>band,</w:t>
      </w:r>
      <w:r>
        <w:rPr>
          <w:b w:val="0"/>
          <w:bCs w:val="0"/>
          <w:lang w:val="en-CA"/>
        </w:rPr>
        <w:t xml:space="preserve"> </w:t>
      </w:r>
      <w:r w:rsidR="00D8304F">
        <w:rPr>
          <w:b w:val="0"/>
          <w:bCs w:val="0"/>
          <w:lang w:val="en-CA"/>
        </w:rPr>
        <w:t xml:space="preserve">but the maximum doppler frequency shift is 50kHz for LEO600, this will make the UE transmit outside its configured channel </w:t>
      </w:r>
      <w:r w:rsidR="001411CC">
        <w:rPr>
          <w:b w:val="0"/>
          <w:bCs w:val="0"/>
          <w:lang w:val="en-CA"/>
        </w:rPr>
        <w:t xml:space="preserve">with maximum doppler frequency pre-compensation </w:t>
      </w:r>
      <w:r w:rsidR="00D8304F">
        <w:rPr>
          <w:b w:val="0"/>
          <w:bCs w:val="0"/>
          <w:lang w:val="en-CA"/>
        </w:rPr>
        <w:t xml:space="preserve">and as </w:t>
      </w:r>
      <w:r w:rsidR="00EF4702">
        <w:rPr>
          <w:b w:val="0"/>
          <w:bCs w:val="0"/>
          <w:lang w:val="en-CA"/>
        </w:rPr>
        <w:t>such</w:t>
      </w:r>
      <w:r w:rsidR="00D8304F">
        <w:rPr>
          <w:b w:val="0"/>
          <w:bCs w:val="0"/>
          <w:lang w:val="en-CA"/>
        </w:rPr>
        <w:t xml:space="preserve"> there is a need to understand whether it is allowed for UE transmission </w:t>
      </w:r>
      <w:r w:rsidR="00E83DA2">
        <w:rPr>
          <w:b w:val="0"/>
          <w:bCs w:val="0"/>
          <w:lang w:val="en-CA"/>
        </w:rPr>
        <w:t xml:space="preserve">outside its assigned channel </w:t>
      </w:r>
      <w:r w:rsidR="001411CC">
        <w:rPr>
          <w:b w:val="0"/>
          <w:bCs w:val="0"/>
          <w:lang w:val="en-CA"/>
        </w:rPr>
        <w:t>in such case</w:t>
      </w:r>
      <w:r w:rsidR="00D8304F">
        <w:rPr>
          <w:b w:val="0"/>
          <w:bCs w:val="0"/>
          <w:lang w:val="en-CA"/>
        </w:rPr>
        <w:t xml:space="preserve">.  A relating question is </w:t>
      </w:r>
      <w:r w:rsidR="00E83DA2">
        <w:rPr>
          <w:b w:val="0"/>
          <w:bCs w:val="0"/>
          <w:lang w:val="en-CA"/>
        </w:rPr>
        <w:t>the</w:t>
      </w:r>
      <w:r w:rsidR="00EF4702">
        <w:rPr>
          <w:b w:val="0"/>
          <w:bCs w:val="0"/>
          <w:lang w:val="en-CA"/>
        </w:rPr>
        <w:t xml:space="preserve"> interpretation </w:t>
      </w:r>
      <w:r w:rsidR="00E83DA2">
        <w:rPr>
          <w:b w:val="0"/>
          <w:bCs w:val="0"/>
          <w:lang w:val="en-CA"/>
        </w:rPr>
        <w:t xml:space="preserve">of </w:t>
      </w:r>
      <w:r w:rsidR="00EF4702">
        <w:rPr>
          <w:b w:val="0"/>
          <w:bCs w:val="0"/>
          <w:lang w:val="en-CA"/>
        </w:rPr>
        <w:t>emission requirement compliance when pre-comp is enabled</w:t>
      </w:r>
      <w:r w:rsidR="00E83DA2">
        <w:rPr>
          <w:b w:val="0"/>
          <w:bCs w:val="0"/>
          <w:lang w:val="en-CA"/>
        </w:rPr>
        <w:t xml:space="preserve"> and this in turn relating </w:t>
      </w:r>
      <w:r w:rsidR="00343B3B">
        <w:rPr>
          <w:b w:val="0"/>
          <w:bCs w:val="0"/>
          <w:lang w:val="en-CA"/>
        </w:rPr>
        <w:t xml:space="preserve">to </w:t>
      </w:r>
      <w:r w:rsidR="00E83DA2">
        <w:rPr>
          <w:b w:val="0"/>
          <w:bCs w:val="0"/>
          <w:lang w:val="en-CA"/>
        </w:rPr>
        <w:t>at which frequency point the emission mask should be tested</w:t>
      </w:r>
      <w:r w:rsidR="00EF4702">
        <w:rPr>
          <w:b w:val="0"/>
          <w:bCs w:val="0"/>
          <w:lang w:val="en-CA"/>
        </w:rPr>
        <w:t xml:space="preserve">. </w:t>
      </w:r>
    </w:p>
    <w:p w14:paraId="75E4641A" w14:textId="6F2EBFF2" w:rsidR="0045127E" w:rsidRDefault="0045127E" w:rsidP="0045127E">
      <w:pPr>
        <w:pStyle w:val="Observation"/>
        <w:numPr>
          <w:ilvl w:val="0"/>
          <w:numId w:val="0"/>
        </w:numPr>
        <w:rPr>
          <w:b w:val="0"/>
          <w:bCs w:val="0"/>
          <w:lang w:val="en-CA"/>
        </w:rPr>
      </w:pPr>
      <w:r>
        <w:rPr>
          <w:b w:val="0"/>
          <w:bCs w:val="0"/>
          <w:lang w:val="en-CA"/>
        </w:rPr>
        <w:t xml:space="preserve">In regulation requirement, the maximum doppler shift consideration is only considered for space station but not the earth station. This means the emission mask should not be moved and </w:t>
      </w:r>
      <w:r w:rsidR="00126163">
        <w:rPr>
          <w:b w:val="0"/>
          <w:bCs w:val="0"/>
          <w:lang w:val="en-CA"/>
        </w:rPr>
        <w:t xml:space="preserve">this </w:t>
      </w:r>
      <w:r>
        <w:rPr>
          <w:b w:val="0"/>
          <w:bCs w:val="0"/>
          <w:lang w:val="en-CA"/>
        </w:rPr>
        <w:t>correspond</w:t>
      </w:r>
      <w:r w:rsidR="00126163">
        <w:rPr>
          <w:b w:val="0"/>
          <w:bCs w:val="0"/>
          <w:lang w:val="en-CA"/>
        </w:rPr>
        <w:t>s</w:t>
      </w:r>
      <w:r>
        <w:rPr>
          <w:b w:val="0"/>
          <w:bCs w:val="0"/>
          <w:lang w:val="en-CA"/>
        </w:rPr>
        <w:t xml:space="preserve"> to the case (2) in</w:t>
      </w:r>
      <w:r w:rsidR="00AE239B">
        <w:rPr>
          <w:b w:val="0"/>
          <w:bCs w:val="0"/>
          <w:lang w:val="en-CA"/>
        </w:rPr>
        <w:t xml:space="preserve"> </w:t>
      </w:r>
      <w:r w:rsidR="00AE239B">
        <w:rPr>
          <w:b w:val="0"/>
          <w:bCs w:val="0"/>
          <w:lang w:val="en-CA"/>
        </w:rPr>
        <w:fldChar w:fldCharType="begin"/>
      </w:r>
      <w:r w:rsidR="00AE239B">
        <w:rPr>
          <w:b w:val="0"/>
          <w:bCs w:val="0"/>
          <w:lang w:val="en-CA"/>
        </w:rPr>
        <w:instrText xml:space="preserve"> REF _Ref118287487 \h </w:instrText>
      </w:r>
      <w:r w:rsidR="00AE239B">
        <w:rPr>
          <w:b w:val="0"/>
          <w:bCs w:val="0"/>
          <w:lang w:val="en-CA"/>
        </w:rPr>
      </w:r>
      <w:r w:rsidR="00AE239B">
        <w:rPr>
          <w:b w:val="0"/>
          <w:bCs w:val="0"/>
          <w:lang w:val="en-CA"/>
        </w:rPr>
        <w:fldChar w:fldCharType="separate"/>
      </w:r>
      <w:r w:rsidR="00AE239B">
        <w:t xml:space="preserve">Figure </w:t>
      </w:r>
      <w:r w:rsidR="00AE239B">
        <w:rPr>
          <w:noProof/>
        </w:rPr>
        <w:t>1</w:t>
      </w:r>
      <w:r w:rsidR="00AE239B">
        <w:rPr>
          <w:b w:val="0"/>
          <w:bCs w:val="0"/>
          <w:lang w:val="en-CA"/>
        </w:rPr>
        <w:fldChar w:fldCharType="end"/>
      </w:r>
      <w:r>
        <w:rPr>
          <w:b w:val="0"/>
          <w:bCs w:val="0"/>
          <w:lang w:val="en-CA"/>
        </w:rPr>
        <w:t xml:space="preserve">. For NB-IoT case, if it is allowed </w:t>
      </w:r>
      <w:r w:rsidR="00126163">
        <w:rPr>
          <w:b w:val="0"/>
          <w:bCs w:val="0"/>
          <w:lang w:val="en-CA"/>
        </w:rPr>
        <w:t xml:space="preserve">for </w:t>
      </w:r>
      <w:r>
        <w:rPr>
          <w:b w:val="0"/>
          <w:bCs w:val="0"/>
          <w:lang w:val="en-CA"/>
        </w:rPr>
        <w:t>NB-IoT to make maximum pre-compensation, the NB-IoT will transmit outside the configured channel bandwidth, as this is not stated in regulatory.</w:t>
      </w:r>
    </w:p>
    <w:p w14:paraId="55E13B4C" w14:textId="77777777" w:rsidR="0045127E" w:rsidRDefault="0045127E" w:rsidP="0045127E">
      <w:pPr>
        <w:pStyle w:val="Observation"/>
        <w:rPr>
          <w:lang w:val="en-CA"/>
        </w:rPr>
      </w:pPr>
      <w:bookmarkStart w:id="3" w:name="_Ref118733489"/>
      <w:r>
        <w:rPr>
          <w:lang w:val="en-CA"/>
        </w:rPr>
        <w:t>UE emission mask shall be started at the edge of the configured channel bandwidth according to regulatory.</w:t>
      </w:r>
      <w:bookmarkEnd w:id="3"/>
    </w:p>
    <w:p w14:paraId="3CACA435" w14:textId="46D2F489" w:rsidR="0045127E" w:rsidRDefault="0045127E" w:rsidP="0045127E">
      <w:pPr>
        <w:pStyle w:val="Observation"/>
        <w:numPr>
          <w:ilvl w:val="0"/>
          <w:numId w:val="0"/>
        </w:numPr>
        <w:rPr>
          <w:b w:val="0"/>
          <w:bCs w:val="0"/>
          <w:lang w:val="en-CA"/>
        </w:rPr>
      </w:pPr>
      <w:r>
        <w:rPr>
          <w:b w:val="0"/>
          <w:bCs w:val="0"/>
          <w:lang w:val="en-CA"/>
        </w:rPr>
        <w:t>It is our understanding that UE will shift the LO frequency to make the doppler frequency compensation, thus if the emission mask can not be moved, the pre-compensation function should be disabled in such case. However, UE can move the allocated RB with</w:t>
      </w:r>
      <w:r w:rsidR="00B81E7F">
        <w:rPr>
          <w:b w:val="0"/>
          <w:bCs w:val="0"/>
          <w:lang w:val="en-CA"/>
        </w:rPr>
        <w:t>in</w:t>
      </w:r>
      <w:r>
        <w:rPr>
          <w:b w:val="0"/>
          <w:bCs w:val="0"/>
          <w:lang w:val="en-CA"/>
        </w:rPr>
        <w:t xml:space="preserve"> RB grid in a configured channel </w:t>
      </w:r>
      <w:r w:rsidR="00733C2F">
        <w:rPr>
          <w:b w:val="0"/>
          <w:bCs w:val="0"/>
          <w:lang w:val="en-CA"/>
        </w:rPr>
        <w:t>when</w:t>
      </w:r>
      <w:r>
        <w:rPr>
          <w:b w:val="0"/>
          <w:bCs w:val="0"/>
          <w:lang w:val="en-CA"/>
        </w:rPr>
        <w:t xml:space="preserve"> pre-compensated doppler frequency</w:t>
      </w:r>
      <w:r w:rsidR="00733C2F">
        <w:rPr>
          <w:b w:val="0"/>
          <w:bCs w:val="0"/>
          <w:lang w:val="en-CA"/>
        </w:rPr>
        <w:t xml:space="preserve"> enabled</w:t>
      </w:r>
      <w:r>
        <w:rPr>
          <w:b w:val="0"/>
          <w:bCs w:val="0"/>
          <w:lang w:val="en-CA"/>
        </w:rPr>
        <w:t xml:space="preserve"> without moving LO. In this case, the network </w:t>
      </w:r>
      <w:r w:rsidR="00733C2F">
        <w:rPr>
          <w:b w:val="0"/>
          <w:bCs w:val="0"/>
          <w:lang w:val="en-CA"/>
        </w:rPr>
        <w:t>needs to</w:t>
      </w:r>
      <w:r>
        <w:rPr>
          <w:b w:val="0"/>
          <w:bCs w:val="0"/>
          <w:lang w:val="en-CA"/>
        </w:rPr>
        <w:t xml:space="preserve"> avoid the scheduling of edge PRB which </w:t>
      </w:r>
      <w:r w:rsidR="00733C2F">
        <w:rPr>
          <w:b w:val="0"/>
          <w:bCs w:val="0"/>
          <w:lang w:val="en-CA"/>
        </w:rPr>
        <w:t xml:space="preserve">could </w:t>
      </w:r>
      <w:r>
        <w:rPr>
          <w:b w:val="0"/>
          <w:bCs w:val="0"/>
          <w:lang w:val="en-CA"/>
        </w:rPr>
        <w:t xml:space="preserve">make UE </w:t>
      </w:r>
      <w:r w:rsidR="00733C2F">
        <w:rPr>
          <w:b w:val="0"/>
          <w:bCs w:val="0"/>
          <w:lang w:val="en-CA"/>
        </w:rPr>
        <w:t>transmit outside RB grid with pre-compensation enabled</w:t>
      </w:r>
      <w:r>
        <w:rPr>
          <w:b w:val="0"/>
          <w:bCs w:val="0"/>
          <w:lang w:val="en-CA"/>
        </w:rPr>
        <w:t xml:space="preserve">. But such implementation is not discussed, and the simple LO shift is assumed for UE pre-compensation. </w:t>
      </w:r>
    </w:p>
    <w:p w14:paraId="3DFFFD84" w14:textId="77777777" w:rsidR="00C45A11" w:rsidRDefault="00C45A11" w:rsidP="00C45A11">
      <w:pPr>
        <w:pStyle w:val="Observation"/>
        <w:rPr>
          <w:lang w:val="en-CA"/>
        </w:rPr>
      </w:pPr>
      <w:bookmarkStart w:id="4" w:name="_Ref118733513"/>
      <w:r>
        <w:rPr>
          <w:lang w:val="en-CA"/>
        </w:rPr>
        <w:t>The pre-compensation shall be disabled to comply the regulatory requirement at the band edge or adjacent to another operator if the LO shift is used for pre-compensation</w:t>
      </w:r>
      <w:bookmarkEnd w:id="4"/>
    </w:p>
    <w:p w14:paraId="503C585B" w14:textId="77777777" w:rsidR="0045127E" w:rsidRPr="00FA11F7" w:rsidRDefault="0045127E" w:rsidP="0045127E">
      <w:pPr>
        <w:pStyle w:val="Observation"/>
        <w:numPr>
          <w:ilvl w:val="0"/>
          <w:numId w:val="0"/>
        </w:numPr>
        <w:rPr>
          <w:b w:val="0"/>
          <w:bCs w:val="0"/>
          <w:lang w:val="en-CA"/>
        </w:rPr>
      </w:pPr>
      <w:r>
        <w:rPr>
          <w:b w:val="0"/>
          <w:bCs w:val="0"/>
          <w:lang w:val="en-CA"/>
        </w:rPr>
        <w:t>It should be also understood that operator may assume the UE shifts its LO for pre-compensation if this is within its own assigned frequency block. This is further discussed in different scenarios below.</w:t>
      </w:r>
    </w:p>
    <w:p w14:paraId="635F9EAA" w14:textId="0742B64C" w:rsidR="00EF4702" w:rsidRDefault="00EF4702" w:rsidP="00720395">
      <w:pPr>
        <w:pStyle w:val="Observation"/>
        <w:numPr>
          <w:ilvl w:val="0"/>
          <w:numId w:val="0"/>
        </w:numPr>
        <w:rPr>
          <w:b w:val="0"/>
          <w:bCs w:val="0"/>
          <w:lang w:val="en-CA"/>
        </w:rPr>
      </w:pPr>
    </w:p>
    <w:p w14:paraId="35373481" w14:textId="631457F8" w:rsidR="00EF4702" w:rsidRDefault="009B62FF" w:rsidP="00EF4702">
      <w:pPr>
        <w:pStyle w:val="Observation"/>
        <w:numPr>
          <w:ilvl w:val="0"/>
          <w:numId w:val="0"/>
        </w:numPr>
      </w:pPr>
      <w:r>
        <w:object w:dxaOrig="15631" w:dyaOrig="11250" w14:anchorId="5B1F7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40.25pt" o:ole="">
            <v:imagedata r:id="rId39" o:title=""/>
          </v:shape>
          <o:OLEObject Type="Embed" ProgID="Visio.Drawing.15" ShapeID="_x0000_i1025" DrawAspect="Content" ObjectID="_1729352809" r:id="rId40"/>
        </w:object>
      </w:r>
    </w:p>
    <w:p w14:paraId="21E61B19" w14:textId="214D0A8F" w:rsidR="00EF4702" w:rsidRDefault="00EA4C59" w:rsidP="00EA4C59">
      <w:pPr>
        <w:pStyle w:val="Caption"/>
        <w:ind w:left="720" w:firstLine="720"/>
        <w:rPr>
          <w:b w:val="0"/>
          <w:bCs w:val="0"/>
          <w:lang w:val="en-US"/>
        </w:rPr>
      </w:pPr>
      <w:bookmarkStart w:id="5" w:name="_Ref118287487"/>
      <w:r>
        <w:t xml:space="preserve">Figure </w:t>
      </w:r>
      <w:r>
        <w:fldChar w:fldCharType="begin"/>
      </w:r>
      <w:r>
        <w:instrText xml:space="preserve"> SEQ Figure \* ARABIC </w:instrText>
      </w:r>
      <w:r>
        <w:fldChar w:fldCharType="separate"/>
      </w:r>
      <w:r w:rsidR="00281C85">
        <w:rPr>
          <w:noProof/>
        </w:rPr>
        <w:t>1</w:t>
      </w:r>
      <w:r>
        <w:fldChar w:fldCharType="end"/>
      </w:r>
      <w:bookmarkEnd w:id="5"/>
      <w:r>
        <w:t>:</w:t>
      </w:r>
      <w:r w:rsidR="00EF4702">
        <w:t xml:space="preserve">UE shift LO frequency for pre-compensation </w:t>
      </w:r>
    </w:p>
    <w:p w14:paraId="2558316A" w14:textId="77777777" w:rsidR="00EF4702" w:rsidRPr="00EF4702" w:rsidRDefault="00EF4702" w:rsidP="00720395">
      <w:pPr>
        <w:pStyle w:val="Observation"/>
        <w:numPr>
          <w:ilvl w:val="0"/>
          <w:numId w:val="0"/>
        </w:numPr>
        <w:rPr>
          <w:b w:val="0"/>
          <w:bCs w:val="0"/>
          <w:lang w:val="en-US"/>
        </w:rPr>
      </w:pPr>
    </w:p>
    <w:p w14:paraId="0D4F05AA" w14:textId="77777777" w:rsidR="00D8304F" w:rsidRDefault="00D8304F" w:rsidP="00720395">
      <w:pPr>
        <w:pStyle w:val="Observation"/>
        <w:numPr>
          <w:ilvl w:val="0"/>
          <w:numId w:val="0"/>
        </w:numPr>
        <w:rPr>
          <w:b w:val="0"/>
          <w:bCs w:val="0"/>
          <w:lang w:val="en-CA"/>
        </w:rPr>
      </w:pPr>
    </w:p>
    <w:p w14:paraId="5E60FC2F" w14:textId="383FBE03" w:rsidR="004061FA" w:rsidRDefault="00720395" w:rsidP="00720395">
      <w:pPr>
        <w:pStyle w:val="Observation"/>
        <w:numPr>
          <w:ilvl w:val="0"/>
          <w:numId w:val="0"/>
        </w:numPr>
        <w:rPr>
          <w:b w:val="0"/>
          <w:bCs w:val="0"/>
          <w:lang w:val="en-CA"/>
        </w:rPr>
      </w:pPr>
      <w:r>
        <w:rPr>
          <w:b w:val="0"/>
          <w:bCs w:val="0"/>
          <w:lang w:val="en-CA"/>
        </w:rPr>
        <w:t xml:space="preserve">The interpretation of the </w:t>
      </w:r>
      <w:proofErr w:type="spellStart"/>
      <w:r>
        <w:rPr>
          <w:b w:val="0"/>
          <w:bCs w:val="0"/>
          <w:lang w:val="en-CA"/>
        </w:rPr>
        <w:t>the</w:t>
      </w:r>
      <w:proofErr w:type="spellEnd"/>
      <w:r>
        <w:rPr>
          <w:b w:val="0"/>
          <w:bCs w:val="0"/>
          <w:lang w:val="en-CA"/>
        </w:rPr>
        <w:t xml:space="preserve"> doppler shift </w:t>
      </w:r>
      <w:r w:rsidR="0045127E">
        <w:rPr>
          <w:b w:val="0"/>
          <w:bCs w:val="0"/>
          <w:lang w:val="en-CA"/>
        </w:rPr>
        <w:t>in relation to the network configured channel is</w:t>
      </w:r>
      <w:r>
        <w:rPr>
          <w:b w:val="0"/>
          <w:bCs w:val="0"/>
          <w:lang w:val="en-CA"/>
        </w:rPr>
        <w:t xml:space="preserve"> </w:t>
      </w:r>
      <w:r w:rsidR="00C57042">
        <w:rPr>
          <w:b w:val="0"/>
          <w:bCs w:val="0"/>
          <w:lang w:val="en-CA"/>
        </w:rPr>
        <w:t>summarized</w:t>
      </w:r>
      <w:r>
        <w:rPr>
          <w:b w:val="0"/>
          <w:bCs w:val="0"/>
          <w:lang w:val="en-CA"/>
        </w:rPr>
        <w:t xml:space="preserve"> in below scenarios:</w:t>
      </w:r>
    </w:p>
    <w:p w14:paraId="43831445" w14:textId="46F9A6A8" w:rsidR="00720395" w:rsidRDefault="005B6961" w:rsidP="00720395">
      <w:pPr>
        <w:pStyle w:val="Observation"/>
        <w:numPr>
          <w:ilvl w:val="0"/>
          <w:numId w:val="0"/>
        </w:numPr>
        <w:rPr>
          <w:b w:val="0"/>
          <w:bCs w:val="0"/>
          <w:lang w:val="en-CA"/>
        </w:rPr>
      </w:pPr>
      <w:r>
        <w:rPr>
          <w:b w:val="0"/>
          <w:bCs w:val="0"/>
          <w:noProof/>
          <w:lang w:val="en-CA"/>
        </w:rPr>
        <w:drawing>
          <wp:inline distT="0" distB="0" distL="0" distR="0" wp14:anchorId="4ED12FC4" wp14:editId="1AFFC878">
            <wp:extent cx="6024903" cy="3048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038163" cy="3054708"/>
                    </a:xfrm>
                    <a:prstGeom prst="rect">
                      <a:avLst/>
                    </a:prstGeom>
                    <a:noFill/>
                  </pic:spPr>
                </pic:pic>
              </a:graphicData>
            </a:graphic>
          </wp:inline>
        </w:drawing>
      </w:r>
    </w:p>
    <w:p w14:paraId="46052D8D" w14:textId="2C2C7355" w:rsidR="008F4065" w:rsidRDefault="008F4065" w:rsidP="00720395">
      <w:pPr>
        <w:pStyle w:val="Observation"/>
        <w:numPr>
          <w:ilvl w:val="0"/>
          <w:numId w:val="0"/>
        </w:numPr>
        <w:rPr>
          <w:b w:val="0"/>
          <w:bCs w:val="0"/>
          <w:lang w:val="en-CA"/>
        </w:rPr>
      </w:pPr>
    </w:p>
    <w:p w14:paraId="06BF8E5B" w14:textId="6B926964" w:rsidR="00197C52" w:rsidRPr="00197C52" w:rsidRDefault="00B67CC2" w:rsidP="00B67CC2">
      <w:pPr>
        <w:pStyle w:val="Caption"/>
        <w:rPr>
          <w:b w:val="0"/>
        </w:rPr>
      </w:pPr>
      <w:bookmarkStart w:id="6" w:name="_Ref118287504"/>
      <w:r>
        <w:t xml:space="preserve">Figure </w:t>
      </w:r>
      <w:r>
        <w:fldChar w:fldCharType="begin"/>
      </w:r>
      <w:r>
        <w:instrText xml:space="preserve"> SEQ Figure \* ARABIC </w:instrText>
      </w:r>
      <w:r>
        <w:fldChar w:fldCharType="separate"/>
      </w:r>
      <w:r w:rsidR="00281C85">
        <w:rPr>
          <w:noProof/>
        </w:rPr>
        <w:t>2</w:t>
      </w:r>
      <w:r>
        <w:fldChar w:fldCharType="end"/>
      </w:r>
      <w:bookmarkEnd w:id="6"/>
      <w:r>
        <w:t>:</w:t>
      </w:r>
      <w:r w:rsidRPr="00382391">
        <w:t>Scenario 1: Network configure S1 + 2x fd1 and S2 + 2x fd</w:t>
      </w:r>
      <w:proofErr w:type="gramStart"/>
      <w:r w:rsidRPr="00382391">
        <w:t>2 ,</w:t>
      </w:r>
      <w:proofErr w:type="gramEnd"/>
      <w:r w:rsidRPr="00382391">
        <w:t xml:space="preserve"> UE transmit only </w:t>
      </w:r>
      <w:r w:rsidR="000F5722">
        <w:t xml:space="preserve">within configured </w:t>
      </w:r>
      <w:r w:rsidRPr="00382391">
        <w:t>S1 and S2</w:t>
      </w:r>
    </w:p>
    <w:p w14:paraId="6C5C676F" w14:textId="4B9F384C" w:rsidR="00446598" w:rsidRPr="00FA02E3" w:rsidRDefault="005B6961" w:rsidP="00576F49">
      <w:pPr>
        <w:pStyle w:val="Proposal"/>
        <w:numPr>
          <w:ilvl w:val="0"/>
          <w:numId w:val="0"/>
        </w:numPr>
        <w:ind w:firstLine="720"/>
      </w:pPr>
      <w:r>
        <w:rPr>
          <w:noProof/>
        </w:rPr>
        <w:lastRenderedPageBreak/>
        <w:drawing>
          <wp:inline distT="0" distB="0" distL="0" distR="0" wp14:anchorId="18B6CFDD" wp14:editId="41DD5EE2">
            <wp:extent cx="5953726" cy="32194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60783" cy="3223266"/>
                    </a:xfrm>
                    <a:prstGeom prst="rect">
                      <a:avLst/>
                    </a:prstGeom>
                    <a:noFill/>
                  </pic:spPr>
                </pic:pic>
              </a:graphicData>
            </a:graphic>
          </wp:inline>
        </w:drawing>
      </w:r>
    </w:p>
    <w:p w14:paraId="523CEA38" w14:textId="77777777" w:rsidR="00B67CC2" w:rsidRDefault="00B67CC2" w:rsidP="00576F49">
      <w:pPr>
        <w:pStyle w:val="Proposal"/>
        <w:numPr>
          <w:ilvl w:val="0"/>
          <w:numId w:val="0"/>
        </w:numPr>
        <w:ind w:firstLine="720"/>
        <w:rPr>
          <w:lang w:val="en-CA"/>
        </w:rPr>
      </w:pPr>
    </w:p>
    <w:p w14:paraId="17CEA131" w14:textId="4E69154E" w:rsidR="00B67CC2" w:rsidRDefault="00B67CC2" w:rsidP="00B67CC2">
      <w:pPr>
        <w:pStyle w:val="Caption"/>
      </w:pPr>
      <w:bookmarkStart w:id="7" w:name="_Ref118287516"/>
      <w:r>
        <w:t xml:space="preserve">Figure </w:t>
      </w:r>
      <w:r>
        <w:fldChar w:fldCharType="begin"/>
      </w:r>
      <w:r>
        <w:instrText xml:space="preserve"> SEQ Figure \* ARABIC </w:instrText>
      </w:r>
      <w:r>
        <w:fldChar w:fldCharType="separate"/>
      </w:r>
      <w:r w:rsidR="00281C85">
        <w:rPr>
          <w:noProof/>
        </w:rPr>
        <w:t>3</w:t>
      </w:r>
      <w:r>
        <w:fldChar w:fldCharType="end"/>
      </w:r>
      <w:bookmarkEnd w:id="7"/>
      <w:r>
        <w:t xml:space="preserve">: </w:t>
      </w:r>
      <w:r w:rsidRPr="00D95376">
        <w:t>Scenario #2</w:t>
      </w:r>
      <w:r w:rsidR="00281C85">
        <w:t>-1</w:t>
      </w:r>
      <w:r>
        <w:t xml:space="preserve">: </w:t>
      </w:r>
      <w:r w:rsidRPr="00D95376">
        <w:t xml:space="preserve"> Network configure S1 and S2, UE transmit S1 + 2x fd1 and S2 + 2x fd2</w:t>
      </w:r>
    </w:p>
    <w:p w14:paraId="2AFAC50A" w14:textId="482651FD" w:rsidR="00281C85" w:rsidRDefault="00281C85" w:rsidP="00281C85">
      <w:r>
        <w:rPr>
          <w:noProof/>
        </w:rPr>
        <w:drawing>
          <wp:inline distT="0" distB="0" distL="0" distR="0" wp14:anchorId="6E2312A7" wp14:editId="04799A6F">
            <wp:extent cx="6322141" cy="350029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37357" cy="3508715"/>
                    </a:xfrm>
                    <a:prstGeom prst="rect">
                      <a:avLst/>
                    </a:prstGeom>
                    <a:noFill/>
                  </pic:spPr>
                </pic:pic>
              </a:graphicData>
            </a:graphic>
          </wp:inline>
        </w:drawing>
      </w:r>
    </w:p>
    <w:p w14:paraId="57554C12" w14:textId="74C7AA06" w:rsidR="00281C85" w:rsidRDefault="00281C85" w:rsidP="00281C85">
      <w:pPr>
        <w:pStyle w:val="Caption"/>
      </w:pPr>
      <w:bookmarkStart w:id="8" w:name="_Ref118449901"/>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D95376">
        <w:t>Scenario #2</w:t>
      </w:r>
      <w:r>
        <w:t xml:space="preserve">-2: </w:t>
      </w:r>
      <w:r w:rsidRPr="00D95376">
        <w:t xml:space="preserve"> Network configure S1 </w:t>
      </w:r>
      <w:r>
        <w:t xml:space="preserve">+ 2fd1 </w:t>
      </w:r>
      <w:r w:rsidRPr="00D95376">
        <w:t>and S2</w:t>
      </w:r>
      <w:r>
        <w:t xml:space="preserve"> + 2fd</w:t>
      </w:r>
      <w:proofErr w:type="gramStart"/>
      <w:r>
        <w:t xml:space="preserve">2 </w:t>
      </w:r>
      <w:r w:rsidRPr="00D95376">
        <w:t>,</w:t>
      </w:r>
      <w:proofErr w:type="gramEnd"/>
      <w:r w:rsidRPr="00D95376">
        <w:t xml:space="preserve"> UE transmit S1 + 2x fd1 and S2 + 2x fd2</w:t>
      </w:r>
    </w:p>
    <w:p w14:paraId="0124438F" w14:textId="7E543BC8" w:rsidR="00281C85" w:rsidRPr="00281C85" w:rsidRDefault="00281C85" w:rsidP="00281C85">
      <w:pPr>
        <w:pStyle w:val="Caption"/>
      </w:pPr>
    </w:p>
    <w:p w14:paraId="4515950C" w14:textId="3E75633A" w:rsidR="00912105" w:rsidRDefault="00AF1FB0" w:rsidP="00912105">
      <w:pPr>
        <w:rPr>
          <w:lang w:eastAsia="ja-JP"/>
        </w:rPr>
      </w:pPr>
      <w:r>
        <w:rPr>
          <w:noProof/>
          <w:lang w:val="en-SE" w:eastAsia="ja-JP"/>
        </w:rPr>
        <w:lastRenderedPageBreak/>
        <w:drawing>
          <wp:inline distT="0" distB="0" distL="0" distR="0" wp14:anchorId="04BBD374" wp14:editId="4A6C5E5B">
            <wp:extent cx="6246204" cy="341471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255678" cy="3419891"/>
                    </a:xfrm>
                    <a:prstGeom prst="rect">
                      <a:avLst/>
                    </a:prstGeom>
                    <a:noFill/>
                  </pic:spPr>
                </pic:pic>
              </a:graphicData>
            </a:graphic>
          </wp:inline>
        </w:drawing>
      </w:r>
    </w:p>
    <w:p w14:paraId="3445A1C4" w14:textId="06E56153" w:rsidR="00B67CC2" w:rsidRDefault="00912105" w:rsidP="00F14EB9">
      <w:pPr>
        <w:pStyle w:val="Caption"/>
        <w:rPr>
          <w:b w:val="0"/>
        </w:rPr>
      </w:pPr>
      <w:bookmarkStart w:id="9" w:name="_Ref118287523"/>
      <w:r>
        <w:t xml:space="preserve">Figure </w:t>
      </w:r>
      <w:r>
        <w:fldChar w:fldCharType="begin"/>
      </w:r>
      <w:r>
        <w:instrText xml:space="preserve"> SEQ Figure \* ARABIC </w:instrText>
      </w:r>
      <w:r>
        <w:fldChar w:fldCharType="separate"/>
      </w:r>
      <w:r w:rsidR="00281C85">
        <w:rPr>
          <w:noProof/>
        </w:rPr>
        <w:t>5</w:t>
      </w:r>
      <w:r>
        <w:fldChar w:fldCharType="end"/>
      </w:r>
      <w:bookmarkEnd w:id="9"/>
      <w:r>
        <w:t>:</w:t>
      </w:r>
      <w:r w:rsidR="00F14EB9" w:rsidRPr="00F14EB9">
        <w:rPr>
          <w:rFonts w:asciiTheme="minorHAnsi" w:eastAsiaTheme="minorEastAsia" w:hAnsi="Calibri" w:cstheme="minorBidi"/>
          <w:b w:val="0"/>
          <w:color w:val="0070C0"/>
          <w:kern w:val="24"/>
          <w:sz w:val="36"/>
          <w:szCs w:val="36"/>
          <w:lang w:val="en-US" w:eastAsia="zh-CN"/>
        </w:rPr>
        <w:t xml:space="preserve"> </w:t>
      </w:r>
      <w:r w:rsidR="00F14EB9" w:rsidRPr="00F14EB9">
        <w:rPr>
          <w:lang w:val="en-US"/>
        </w:rPr>
        <w:t>Scenario #3-1: Network configure S1</w:t>
      </w:r>
      <w:r w:rsidR="000C34AC">
        <w:rPr>
          <w:lang w:val="en-US"/>
        </w:rPr>
        <w:t xml:space="preserve"> + 2fd1</w:t>
      </w:r>
      <w:r w:rsidR="00F14EB9" w:rsidRPr="00F14EB9">
        <w:rPr>
          <w:lang w:val="en-US"/>
        </w:rPr>
        <w:t xml:space="preserve"> and S2</w:t>
      </w:r>
      <w:r w:rsidR="000C34AC">
        <w:rPr>
          <w:lang w:val="en-US"/>
        </w:rPr>
        <w:t>+2fd2</w:t>
      </w:r>
      <w:r w:rsidR="00F14EB9" w:rsidRPr="00F14EB9">
        <w:rPr>
          <w:lang w:val="en-US"/>
        </w:rPr>
        <w:t xml:space="preserve">, </w:t>
      </w:r>
      <w:r w:rsidR="000C34AC">
        <w:rPr>
          <w:lang w:val="en-US"/>
        </w:rPr>
        <w:t xml:space="preserve">allowing </w:t>
      </w:r>
      <w:r w:rsidR="00F14EB9" w:rsidRPr="00F14EB9">
        <w:rPr>
          <w:lang w:val="en-US"/>
        </w:rPr>
        <w:t xml:space="preserve">UE </w:t>
      </w:r>
      <w:r w:rsidR="00A9377A" w:rsidRPr="00F14EB9">
        <w:rPr>
          <w:lang w:val="en-US"/>
        </w:rPr>
        <w:t>to transmit</w:t>
      </w:r>
      <w:r w:rsidR="00F14EB9" w:rsidRPr="00F14EB9">
        <w:rPr>
          <w:lang w:val="en-US"/>
        </w:rPr>
        <w:t xml:space="preserve"> </w:t>
      </w:r>
      <w:r w:rsidR="000C34AC">
        <w:rPr>
          <w:lang w:val="en-US"/>
        </w:rPr>
        <w:t>outside S1 and S2</w:t>
      </w:r>
      <w:r w:rsidR="00F14EB9" w:rsidRPr="00F14EB9">
        <w:rPr>
          <w:lang w:val="en-US"/>
        </w:rPr>
        <w:t xml:space="preserve"> </w:t>
      </w:r>
      <w:r w:rsidR="000C34AC">
        <w:rPr>
          <w:lang w:val="en-US"/>
        </w:rPr>
        <w:t xml:space="preserve">subject to operator’s agreement. </w:t>
      </w:r>
    </w:p>
    <w:p w14:paraId="5DD44F47" w14:textId="60F9964C" w:rsidR="00BF1A16" w:rsidRDefault="000850C7" w:rsidP="00A47EC7">
      <w:pPr>
        <w:pStyle w:val="Observation"/>
        <w:numPr>
          <w:ilvl w:val="0"/>
          <w:numId w:val="0"/>
        </w:numPr>
        <w:rPr>
          <w:lang w:val="en-US"/>
        </w:rPr>
      </w:pPr>
      <w:r>
        <w:rPr>
          <w:noProof/>
          <w:lang w:val="en-US"/>
        </w:rPr>
        <w:drawing>
          <wp:inline distT="0" distB="0" distL="0" distR="0" wp14:anchorId="29E73E14" wp14:editId="1D6A0508">
            <wp:extent cx="5523989" cy="26857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47735" cy="2697249"/>
                    </a:xfrm>
                    <a:prstGeom prst="rect">
                      <a:avLst/>
                    </a:prstGeom>
                    <a:noFill/>
                  </pic:spPr>
                </pic:pic>
              </a:graphicData>
            </a:graphic>
          </wp:inline>
        </w:drawing>
      </w:r>
    </w:p>
    <w:p w14:paraId="15945806" w14:textId="7010A05B" w:rsidR="00F14EB9" w:rsidRDefault="00BF1A16" w:rsidP="00BF1A16">
      <w:pPr>
        <w:pStyle w:val="Caption"/>
        <w:rPr>
          <w:b w:val="0"/>
          <w:bCs w:val="0"/>
          <w:lang w:val="en-US"/>
        </w:rPr>
      </w:pPr>
      <w:bookmarkStart w:id="10" w:name="_Ref118287608"/>
      <w:r>
        <w:t xml:space="preserve">Figure </w:t>
      </w:r>
      <w:r>
        <w:fldChar w:fldCharType="begin"/>
      </w:r>
      <w:r>
        <w:instrText xml:space="preserve"> SEQ Figure \* ARABIC </w:instrText>
      </w:r>
      <w:r>
        <w:fldChar w:fldCharType="separate"/>
      </w:r>
      <w:r w:rsidR="00281C85">
        <w:rPr>
          <w:noProof/>
        </w:rPr>
        <w:t>6</w:t>
      </w:r>
      <w:r>
        <w:fldChar w:fldCharType="end"/>
      </w:r>
      <w:bookmarkEnd w:id="10"/>
      <w:r>
        <w:t>:</w:t>
      </w:r>
      <w:r w:rsidR="00F14EB9">
        <w:t xml:space="preserve"> </w:t>
      </w:r>
      <w:r w:rsidR="0048622B" w:rsidRPr="0048622B">
        <w:rPr>
          <w:lang w:val="en-US"/>
        </w:rPr>
        <w:t>Scenario #3-2: Network configure S1</w:t>
      </w:r>
      <w:r w:rsidR="000850C7">
        <w:rPr>
          <w:lang w:val="en-US"/>
        </w:rPr>
        <w:t>+ 2fd1</w:t>
      </w:r>
      <w:r w:rsidR="0048622B" w:rsidRPr="0048622B">
        <w:rPr>
          <w:lang w:val="en-US"/>
        </w:rPr>
        <w:t xml:space="preserve"> with additional </w:t>
      </w:r>
      <w:r w:rsidR="008549FD">
        <w:rPr>
          <w:lang w:val="en-US"/>
        </w:rPr>
        <w:t xml:space="preserve">regulatory </w:t>
      </w:r>
      <w:r w:rsidR="0048622B" w:rsidRPr="0048622B">
        <w:rPr>
          <w:lang w:val="en-US"/>
        </w:rPr>
        <w:t>guard band fd1 to the adjacent channel from incumbent service, UE transmit S1 + 2x fd1</w:t>
      </w:r>
    </w:p>
    <w:p w14:paraId="3D63D84C" w14:textId="0910FE5F" w:rsidR="00F14EB9" w:rsidRDefault="00F14EB9" w:rsidP="00B67CC2">
      <w:pPr>
        <w:pStyle w:val="Observation"/>
        <w:numPr>
          <w:ilvl w:val="0"/>
          <w:numId w:val="0"/>
        </w:numPr>
        <w:rPr>
          <w:b w:val="0"/>
          <w:bCs w:val="0"/>
          <w:lang w:val="en-US"/>
        </w:rPr>
      </w:pPr>
    </w:p>
    <w:p w14:paraId="08EF7F5D" w14:textId="0CEC6866" w:rsidR="00F14EB9" w:rsidRDefault="00F14EB9" w:rsidP="00B67CC2">
      <w:pPr>
        <w:pStyle w:val="Observation"/>
        <w:numPr>
          <w:ilvl w:val="0"/>
          <w:numId w:val="0"/>
        </w:numPr>
        <w:rPr>
          <w:b w:val="0"/>
          <w:bCs w:val="0"/>
          <w:lang w:val="en-US"/>
        </w:rPr>
      </w:pPr>
    </w:p>
    <w:p w14:paraId="4B76BD26" w14:textId="7BE70C65" w:rsidR="00F14EB9" w:rsidRPr="00F14EB9" w:rsidRDefault="00F14EB9" w:rsidP="00F14EB9">
      <w:pPr>
        <w:pStyle w:val="Caption"/>
        <w:rPr>
          <w:b w:val="0"/>
        </w:rPr>
      </w:pPr>
    </w:p>
    <w:p w14:paraId="0683BA99" w14:textId="4F13B91D" w:rsidR="000C1645" w:rsidRDefault="00C57042" w:rsidP="00B67CC2">
      <w:pPr>
        <w:pStyle w:val="Observation"/>
        <w:numPr>
          <w:ilvl w:val="0"/>
          <w:numId w:val="0"/>
        </w:numPr>
        <w:rPr>
          <w:b w:val="0"/>
          <w:bCs w:val="0"/>
          <w:lang w:val="en-US"/>
        </w:rPr>
      </w:pPr>
      <w:r>
        <w:rPr>
          <w:b w:val="0"/>
          <w:bCs w:val="0"/>
          <w:lang w:val="en-US"/>
        </w:rPr>
        <w:t xml:space="preserve">The NTN operator can configure the channel </w:t>
      </w:r>
      <w:r w:rsidR="000C1645">
        <w:rPr>
          <w:b w:val="0"/>
          <w:bCs w:val="0"/>
          <w:lang w:val="en-US"/>
        </w:rPr>
        <w:t xml:space="preserve">differently </w:t>
      </w:r>
      <w:r>
        <w:rPr>
          <w:b w:val="0"/>
          <w:bCs w:val="0"/>
          <w:lang w:val="en-US"/>
        </w:rPr>
        <w:t>according to scenario 1 to 3</w:t>
      </w:r>
      <w:r w:rsidR="000C1645">
        <w:rPr>
          <w:b w:val="0"/>
          <w:bCs w:val="0"/>
          <w:lang w:val="en-US"/>
        </w:rPr>
        <w:t>-</w:t>
      </w:r>
      <w:r w:rsidR="000134D3">
        <w:rPr>
          <w:b w:val="0"/>
          <w:bCs w:val="0"/>
          <w:lang w:val="en-US"/>
        </w:rPr>
        <w:t>2</w:t>
      </w:r>
      <w:r>
        <w:rPr>
          <w:b w:val="0"/>
          <w:bCs w:val="0"/>
          <w:lang w:val="en-US"/>
        </w:rPr>
        <w:t xml:space="preserve">. </w:t>
      </w:r>
      <w:r w:rsidR="000C1645">
        <w:rPr>
          <w:b w:val="0"/>
          <w:bCs w:val="0"/>
          <w:lang w:val="en-US"/>
        </w:rPr>
        <w:t xml:space="preserve"> Scenario 3-1 to 3-</w:t>
      </w:r>
      <w:r w:rsidR="000134D3">
        <w:rPr>
          <w:b w:val="0"/>
          <w:bCs w:val="0"/>
          <w:lang w:val="en-US"/>
        </w:rPr>
        <w:t>2</w:t>
      </w:r>
      <w:r w:rsidR="000C1645">
        <w:rPr>
          <w:b w:val="0"/>
          <w:bCs w:val="0"/>
          <w:lang w:val="en-US"/>
        </w:rPr>
        <w:t xml:space="preserve"> are configuration</w:t>
      </w:r>
      <w:r w:rsidR="00E83DA2">
        <w:rPr>
          <w:b w:val="0"/>
          <w:bCs w:val="0"/>
          <w:lang w:val="en-US"/>
        </w:rPr>
        <w:t>s</w:t>
      </w:r>
      <w:r w:rsidR="000C1645">
        <w:rPr>
          <w:b w:val="0"/>
          <w:bCs w:val="0"/>
          <w:lang w:val="en-US"/>
        </w:rPr>
        <w:t xml:space="preserve"> at the adjacent channel from another operator</w:t>
      </w:r>
      <w:r w:rsidR="00E83DA2">
        <w:rPr>
          <w:b w:val="0"/>
          <w:bCs w:val="0"/>
          <w:lang w:val="en-US"/>
        </w:rPr>
        <w:t xml:space="preserve"> </w:t>
      </w:r>
      <w:r w:rsidR="0036684A">
        <w:rPr>
          <w:b w:val="0"/>
          <w:bCs w:val="0"/>
          <w:lang w:val="en-US"/>
        </w:rPr>
        <w:t>where</w:t>
      </w:r>
      <w:r w:rsidR="00E83DA2">
        <w:rPr>
          <w:b w:val="0"/>
          <w:bCs w:val="0"/>
          <w:lang w:val="en-US"/>
        </w:rPr>
        <w:t xml:space="preserve"> regulatory requirement</w:t>
      </w:r>
      <w:r w:rsidR="0036684A">
        <w:rPr>
          <w:b w:val="0"/>
          <w:bCs w:val="0"/>
          <w:lang w:val="en-US"/>
        </w:rPr>
        <w:t>s</w:t>
      </w:r>
      <w:r w:rsidR="00E83DA2">
        <w:rPr>
          <w:b w:val="0"/>
          <w:bCs w:val="0"/>
          <w:lang w:val="en-US"/>
        </w:rPr>
        <w:t xml:space="preserve"> shall </w:t>
      </w:r>
      <w:proofErr w:type="gramStart"/>
      <w:r w:rsidR="00E83DA2">
        <w:rPr>
          <w:b w:val="0"/>
          <w:bCs w:val="0"/>
          <w:lang w:val="en-US"/>
        </w:rPr>
        <w:t>apply</w:t>
      </w:r>
      <w:r w:rsidR="000C1645">
        <w:rPr>
          <w:b w:val="0"/>
          <w:bCs w:val="0"/>
          <w:lang w:val="en-US"/>
        </w:rPr>
        <w:t>,</w:t>
      </w:r>
      <w:proofErr w:type="gramEnd"/>
      <w:r w:rsidR="000C1645">
        <w:rPr>
          <w:b w:val="0"/>
          <w:bCs w:val="0"/>
          <w:lang w:val="en-US"/>
        </w:rPr>
        <w:t xml:space="preserve"> </w:t>
      </w:r>
      <w:r w:rsidR="00E83DA2">
        <w:rPr>
          <w:b w:val="0"/>
          <w:bCs w:val="0"/>
          <w:lang w:val="en-US"/>
        </w:rPr>
        <w:t xml:space="preserve">the adjacent service operator could be </w:t>
      </w:r>
      <w:r w:rsidR="000C1645">
        <w:rPr>
          <w:b w:val="0"/>
          <w:bCs w:val="0"/>
          <w:lang w:val="en-US"/>
        </w:rPr>
        <w:t xml:space="preserve">either another NTN operator or incumbent service operator. </w:t>
      </w:r>
    </w:p>
    <w:p w14:paraId="33D36141" w14:textId="72A0E6C3" w:rsidR="00E3715C" w:rsidRDefault="00E3715C" w:rsidP="00B67CC2">
      <w:pPr>
        <w:pStyle w:val="Observation"/>
        <w:numPr>
          <w:ilvl w:val="0"/>
          <w:numId w:val="0"/>
        </w:numPr>
        <w:rPr>
          <w:b w:val="0"/>
          <w:bCs w:val="0"/>
          <w:lang w:val="en-US"/>
        </w:rPr>
      </w:pPr>
      <w:r>
        <w:rPr>
          <w:b w:val="0"/>
          <w:bCs w:val="0"/>
          <w:lang w:val="en-US"/>
        </w:rPr>
        <w:t>In scenario 1</w:t>
      </w:r>
      <w:r w:rsidR="00BF1A16">
        <w:rPr>
          <w:b w:val="0"/>
          <w:bCs w:val="0"/>
          <w:lang w:val="en-US"/>
        </w:rPr>
        <w:t xml:space="preserve"> in </w:t>
      </w:r>
      <w:r w:rsidR="00BF1A16">
        <w:rPr>
          <w:b w:val="0"/>
          <w:bCs w:val="0"/>
          <w:lang w:val="en-US"/>
        </w:rPr>
        <w:fldChar w:fldCharType="begin"/>
      </w:r>
      <w:r w:rsidR="00BF1A16">
        <w:rPr>
          <w:b w:val="0"/>
          <w:bCs w:val="0"/>
          <w:lang w:val="en-US"/>
        </w:rPr>
        <w:instrText xml:space="preserve"> REF _Ref118287504 \h </w:instrText>
      </w:r>
      <w:r w:rsidR="00BF1A16">
        <w:rPr>
          <w:b w:val="0"/>
          <w:bCs w:val="0"/>
          <w:lang w:val="en-US"/>
        </w:rPr>
      </w:r>
      <w:r w:rsidR="00BF1A16">
        <w:rPr>
          <w:b w:val="0"/>
          <w:bCs w:val="0"/>
          <w:lang w:val="en-US"/>
        </w:rPr>
        <w:fldChar w:fldCharType="separate"/>
      </w:r>
      <w:r w:rsidR="00BF1A16">
        <w:t xml:space="preserve">Figure </w:t>
      </w:r>
      <w:r w:rsidR="00BF1A16">
        <w:rPr>
          <w:noProof/>
        </w:rPr>
        <w:t>2</w:t>
      </w:r>
      <w:r w:rsidR="00BF1A16">
        <w:rPr>
          <w:b w:val="0"/>
          <w:bCs w:val="0"/>
          <w:lang w:val="en-US"/>
        </w:rPr>
        <w:fldChar w:fldCharType="end"/>
      </w:r>
      <w:r>
        <w:rPr>
          <w:b w:val="0"/>
          <w:bCs w:val="0"/>
          <w:lang w:val="en-US"/>
        </w:rPr>
        <w:t xml:space="preserve">, </w:t>
      </w:r>
      <w:r w:rsidR="0078200C">
        <w:rPr>
          <w:b w:val="0"/>
          <w:bCs w:val="0"/>
          <w:lang w:val="en-US"/>
        </w:rPr>
        <w:t>operator configure</w:t>
      </w:r>
      <w:r w:rsidR="00281C85">
        <w:rPr>
          <w:b w:val="0"/>
          <w:bCs w:val="0"/>
          <w:lang w:val="en-US"/>
        </w:rPr>
        <w:t>s</w:t>
      </w:r>
      <w:r w:rsidR="0078200C">
        <w:rPr>
          <w:b w:val="0"/>
          <w:bCs w:val="0"/>
          <w:lang w:val="en-US"/>
        </w:rPr>
        <w:t xml:space="preserve"> the channel with additional maximum doppler frequency. T</w:t>
      </w:r>
      <w:r>
        <w:rPr>
          <w:b w:val="0"/>
          <w:bCs w:val="0"/>
          <w:lang w:val="en-US"/>
        </w:rPr>
        <w:t xml:space="preserve">he UE is not allowed to transmit outside its assigned channel, </w:t>
      </w:r>
      <w:r w:rsidR="0078200C">
        <w:rPr>
          <w:b w:val="0"/>
          <w:bCs w:val="0"/>
          <w:lang w:val="en-US"/>
        </w:rPr>
        <w:t>this is according to the regulatory requirement understanding.</w:t>
      </w:r>
      <w:r w:rsidR="00281C85">
        <w:rPr>
          <w:b w:val="0"/>
          <w:bCs w:val="0"/>
          <w:lang w:val="en-US"/>
        </w:rPr>
        <w:t xml:space="preserve"> UE emission mask shall be at the edge of the configured channel.</w:t>
      </w:r>
      <w:r w:rsidR="0078200C">
        <w:rPr>
          <w:b w:val="0"/>
          <w:bCs w:val="0"/>
          <w:lang w:val="en-US"/>
        </w:rPr>
        <w:t xml:space="preserve"> </w:t>
      </w:r>
    </w:p>
    <w:p w14:paraId="7BEB110B" w14:textId="570CF318" w:rsidR="00E3715C" w:rsidRDefault="00E3715C" w:rsidP="00B67CC2">
      <w:pPr>
        <w:pStyle w:val="Observation"/>
        <w:numPr>
          <w:ilvl w:val="0"/>
          <w:numId w:val="0"/>
        </w:numPr>
        <w:rPr>
          <w:b w:val="0"/>
          <w:bCs w:val="0"/>
          <w:lang w:val="en-US"/>
        </w:rPr>
      </w:pPr>
      <w:r>
        <w:rPr>
          <w:b w:val="0"/>
          <w:bCs w:val="0"/>
          <w:lang w:val="en-US"/>
        </w:rPr>
        <w:t>In scenario 2</w:t>
      </w:r>
      <w:r w:rsidR="001B5635">
        <w:rPr>
          <w:b w:val="0"/>
          <w:bCs w:val="0"/>
          <w:lang w:val="en-US"/>
        </w:rPr>
        <w:t>-</w:t>
      </w:r>
      <w:proofErr w:type="gramStart"/>
      <w:r w:rsidR="001B5635">
        <w:rPr>
          <w:b w:val="0"/>
          <w:bCs w:val="0"/>
          <w:lang w:val="en-US"/>
        </w:rPr>
        <w:t xml:space="preserve">1 </w:t>
      </w:r>
      <w:r w:rsidR="00BF1A16">
        <w:rPr>
          <w:b w:val="0"/>
          <w:bCs w:val="0"/>
          <w:lang w:val="en-US"/>
        </w:rPr>
        <w:t xml:space="preserve"> in</w:t>
      </w:r>
      <w:proofErr w:type="gramEnd"/>
      <w:r w:rsidR="00BF1A16">
        <w:rPr>
          <w:b w:val="0"/>
          <w:bCs w:val="0"/>
          <w:lang w:val="en-US"/>
        </w:rPr>
        <w:t xml:space="preserve"> </w:t>
      </w:r>
      <w:r w:rsidR="00BF1A16">
        <w:rPr>
          <w:b w:val="0"/>
          <w:bCs w:val="0"/>
          <w:lang w:val="en-US"/>
        </w:rPr>
        <w:fldChar w:fldCharType="begin"/>
      </w:r>
      <w:r w:rsidR="00BF1A16">
        <w:rPr>
          <w:b w:val="0"/>
          <w:bCs w:val="0"/>
          <w:lang w:val="en-US"/>
        </w:rPr>
        <w:instrText xml:space="preserve"> REF _Ref118287516 \h </w:instrText>
      </w:r>
      <w:r w:rsidR="00BF1A16">
        <w:rPr>
          <w:b w:val="0"/>
          <w:bCs w:val="0"/>
          <w:lang w:val="en-US"/>
        </w:rPr>
      </w:r>
      <w:r w:rsidR="00BF1A16">
        <w:rPr>
          <w:b w:val="0"/>
          <w:bCs w:val="0"/>
          <w:lang w:val="en-US"/>
        </w:rPr>
        <w:fldChar w:fldCharType="separate"/>
      </w:r>
      <w:r w:rsidR="00BF1A16">
        <w:t xml:space="preserve">Figure </w:t>
      </w:r>
      <w:r w:rsidR="00BF1A16">
        <w:rPr>
          <w:noProof/>
        </w:rPr>
        <w:t>3</w:t>
      </w:r>
      <w:r w:rsidR="00BF1A16">
        <w:rPr>
          <w:b w:val="0"/>
          <w:bCs w:val="0"/>
          <w:lang w:val="en-US"/>
        </w:rPr>
        <w:fldChar w:fldCharType="end"/>
      </w:r>
      <w:r w:rsidR="00BF1A16">
        <w:rPr>
          <w:b w:val="0"/>
          <w:bCs w:val="0"/>
          <w:lang w:val="en-US"/>
        </w:rPr>
        <w:t xml:space="preserve"> </w:t>
      </w:r>
      <w:r>
        <w:rPr>
          <w:b w:val="0"/>
          <w:bCs w:val="0"/>
          <w:lang w:val="en-US"/>
        </w:rPr>
        <w:t xml:space="preserve">, </w:t>
      </w:r>
      <w:r w:rsidR="00FD479A">
        <w:rPr>
          <w:b w:val="0"/>
          <w:bCs w:val="0"/>
          <w:lang w:val="en-US"/>
        </w:rPr>
        <w:t xml:space="preserve">the same operator configures S1 and S2. </w:t>
      </w:r>
      <w:r>
        <w:rPr>
          <w:b w:val="0"/>
          <w:bCs w:val="0"/>
          <w:lang w:val="en-US"/>
        </w:rPr>
        <w:t xml:space="preserve">operator </w:t>
      </w:r>
      <w:r w:rsidR="001B5635">
        <w:rPr>
          <w:b w:val="0"/>
          <w:bCs w:val="0"/>
          <w:lang w:val="en-US"/>
        </w:rPr>
        <w:t xml:space="preserve">does </w:t>
      </w:r>
      <w:r>
        <w:rPr>
          <w:b w:val="0"/>
          <w:bCs w:val="0"/>
          <w:lang w:val="en-US"/>
        </w:rPr>
        <w:t>not configure additional spectrum to accommodate the maximum doppler frequency within its own licensed frequency block</w:t>
      </w:r>
      <w:r w:rsidR="00BC054A">
        <w:rPr>
          <w:b w:val="0"/>
          <w:bCs w:val="0"/>
          <w:lang w:val="en-US"/>
        </w:rPr>
        <w:t xml:space="preserve"> and relying on the UE pre-comp </w:t>
      </w:r>
      <w:r w:rsidR="00BC054A">
        <w:rPr>
          <w:b w:val="0"/>
          <w:bCs w:val="0"/>
          <w:lang w:val="en-US"/>
        </w:rPr>
        <w:lastRenderedPageBreak/>
        <w:t>function to cancel the doppler frequency</w:t>
      </w:r>
      <w:r>
        <w:rPr>
          <w:b w:val="0"/>
          <w:bCs w:val="0"/>
          <w:lang w:val="en-US"/>
        </w:rPr>
        <w:t xml:space="preserve">. UE is allowed to transmit outside the assigned channel with pre-comp. </w:t>
      </w:r>
      <w:r w:rsidR="00460BFC">
        <w:rPr>
          <w:b w:val="0"/>
          <w:bCs w:val="0"/>
          <w:lang w:val="en-US"/>
        </w:rPr>
        <w:t xml:space="preserve">this </w:t>
      </w:r>
      <w:r>
        <w:rPr>
          <w:b w:val="0"/>
          <w:bCs w:val="0"/>
          <w:lang w:val="en-US"/>
        </w:rPr>
        <w:t xml:space="preserve">will </w:t>
      </w:r>
      <w:r w:rsidR="00BC054A">
        <w:rPr>
          <w:b w:val="0"/>
          <w:bCs w:val="0"/>
          <w:lang w:val="en-US"/>
        </w:rPr>
        <w:t>cause</w:t>
      </w:r>
      <w:r>
        <w:rPr>
          <w:b w:val="0"/>
          <w:bCs w:val="0"/>
          <w:lang w:val="en-US"/>
        </w:rPr>
        <w:t xml:space="preserve"> additional co-channel interference</w:t>
      </w:r>
      <w:r w:rsidR="00BC054A">
        <w:rPr>
          <w:b w:val="0"/>
          <w:bCs w:val="0"/>
          <w:lang w:val="en-US"/>
        </w:rPr>
        <w:t xml:space="preserve">, </w:t>
      </w:r>
      <w:r>
        <w:rPr>
          <w:b w:val="0"/>
          <w:bCs w:val="0"/>
          <w:lang w:val="en-US"/>
        </w:rPr>
        <w:t xml:space="preserve">but as this is within its own frequency block, operator can do this if the co-channel interference </w:t>
      </w:r>
      <w:r w:rsidR="00BC054A">
        <w:rPr>
          <w:b w:val="0"/>
          <w:bCs w:val="0"/>
          <w:lang w:val="en-US"/>
        </w:rPr>
        <w:t>from adjacent cell can</w:t>
      </w:r>
      <w:r>
        <w:rPr>
          <w:b w:val="0"/>
          <w:bCs w:val="0"/>
          <w:lang w:val="en-US"/>
        </w:rPr>
        <w:t xml:space="preserve"> be tolerated. </w:t>
      </w:r>
      <w:r w:rsidR="00AF1FB0">
        <w:rPr>
          <w:b w:val="0"/>
          <w:bCs w:val="0"/>
          <w:lang w:val="en-US"/>
        </w:rPr>
        <w:t xml:space="preserve">The UE </w:t>
      </w:r>
      <w:r w:rsidR="00460BFC">
        <w:rPr>
          <w:b w:val="0"/>
          <w:bCs w:val="0"/>
          <w:lang w:val="en-US"/>
        </w:rPr>
        <w:t>is allowed to transmit outside the configured channel.</w:t>
      </w:r>
    </w:p>
    <w:p w14:paraId="71F18E5C" w14:textId="73D95455" w:rsidR="001B5635" w:rsidRDefault="001B5635" w:rsidP="001B5635">
      <w:pPr>
        <w:pStyle w:val="Observation"/>
        <w:numPr>
          <w:ilvl w:val="0"/>
          <w:numId w:val="0"/>
        </w:numPr>
        <w:rPr>
          <w:b w:val="0"/>
          <w:bCs w:val="0"/>
          <w:lang w:val="en-US"/>
        </w:rPr>
      </w:pPr>
      <w:r>
        <w:rPr>
          <w:b w:val="0"/>
          <w:bCs w:val="0"/>
          <w:lang w:val="en-US"/>
        </w:rPr>
        <w:t xml:space="preserve">In scenario 2-2 in </w:t>
      </w:r>
      <w:r>
        <w:rPr>
          <w:b w:val="0"/>
          <w:bCs w:val="0"/>
          <w:lang w:val="en-US"/>
        </w:rPr>
        <w:fldChar w:fldCharType="begin"/>
      </w:r>
      <w:r>
        <w:rPr>
          <w:b w:val="0"/>
          <w:bCs w:val="0"/>
          <w:lang w:val="en-US"/>
        </w:rPr>
        <w:instrText xml:space="preserve"> REF _Ref118449901 \h </w:instrText>
      </w:r>
      <w:r>
        <w:rPr>
          <w:b w:val="0"/>
          <w:bCs w:val="0"/>
          <w:lang w:val="en-US"/>
        </w:rPr>
      </w:r>
      <w:r>
        <w:rPr>
          <w:b w:val="0"/>
          <w:bCs w:val="0"/>
          <w:lang w:val="en-US"/>
        </w:rPr>
        <w:fldChar w:fldCharType="separate"/>
      </w:r>
      <w:r>
        <w:t xml:space="preserve">Figure </w:t>
      </w:r>
      <w:r>
        <w:rPr>
          <w:noProof/>
        </w:rPr>
        <w:t>4</w:t>
      </w:r>
      <w:r>
        <w:rPr>
          <w:b w:val="0"/>
          <w:bCs w:val="0"/>
          <w:lang w:val="en-US"/>
        </w:rPr>
        <w:fldChar w:fldCharType="end"/>
      </w:r>
      <w:r>
        <w:rPr>
          <w:b w:val="0"/>
          <w:bCs w:val="0"/>
          <w:lang w:val="en-US"/>
        </w:rPr>
        <w:t xml:space="preserve">, </w:t>
      </w:r>
      <w:r w:rsidR="00FD479A">
        <w:rPr>
          <w:b w:val="0"/>
          <w:bCs w:val="0"/>
          <w:lang w:val="en-US"/>
        </w:rPr>
        <w:t>the same operator configures S1 and S2. O</w:t>
      </w:r>
      <w:r>
        <w:rPr>
          <w:b w:val="0"/>
          <w:bCs w:val="0"/>
          <w:lang w:val="en-US"/>
        </w:rPr>
        <w:t xml:space="preserve">perator configures additional spectrum to accommodate the maximum doppler frequency within its own licensed frequency block and relying on the UE pre-comp function to cancel the doppler frequency. UE is allowed to transmit outside the assigned channel with pre-comp. There may not be co-channel interference if fd1=fd2. </w:t>
      </w:r>
      <w:r w:rsidR="00460BFC">
        <w:rPr>
          <w:b w:val="0"/>
          <w:bCs w:val="0"/>
          <w:lang w:val="en-US"/>
        </w:rPr>
        <w:t>UE is allowed to transmit outside the configured channel.</w:t>
      </w:r>
    </w:p>
    <w:p w14:paraId="7508E978" w14:textId="77777777" w:rsidR="001B5635" w:rsidRDefault="001B5635" w:rsidP="00B67CC2">
      <w:pPr>
        <w:pStyle w:val="Observation"/>
        <w:numPr>
          <w:ilvl w:val="0"/>
          <w:numId w:val="0"/>
        </w:numPr>
        <w:rPr>
          <w:b w:val="0"/>
          <w:bCs w:val="0"/>
          <w:lang w:val="en-US"/>
        </w:rPr>
      </w:pPr>
    </w:p>
    <w:p w14:paraId="1120EE08" w14:textId="77D289E5" w:rsidR="00E3715C" w:rsidRDefault="00BC054A" w:rsidP="00B67CC2">
      <w:pPr>
        <w:pStyle w:val="Observation"/>
        <w:numPr>
          <w:ilvl w:val="0"/>
          <w:numId w:val="0"/>
        </w:numPr>
        <w:rPr>
          <w:b w:val="0"/>
          <w:bCs w:val="0"/>
          <w:lang w:val="en-US"/>
        </w:rPr>
      </w:pPr>
      <w:r>
        <w:rPr>
          <w:b w:val="0"/>
          <w:bCs w:val="0"/>
          <w:lang w:val="en-US"/>
        </w:rPr>
        <w:t>In scenario 3-1</w:t>
      </w:r>
      <w:r w:rsidR="00BF1A16">
        <w:rPr>
          <w:b w:val="0"/>
          <w:bCs w:val="0"/>
          <w:lang w:val="en-US"/>
        </w:rPr>
        <w:t xml:space="preserve"> in </w:t>
      </w:r>
      <w:r w:rsidR="00BF1A16">
        <w:rPr>
          <w:b w:val="0"/>
          <w:bCs w:val="0"/>
          <w:lang w:val="en-US"/>
        </w:rPr>
        <w:fldChar w:fldCharType="begin"/>
      </w:r>
      <w:r w:rsidR="00BF1A16">
        <w:rPr>
          <w:b w:val="0"/>
          <w:bCs w:val="0"/>
          <w:lang w:val="en-US"/>
        </w:rPr>
        <w:instrText xml:space="preserve"> REF _Ref118287523 \h </w:instrText>
      </w:r>
      <w:r w:rsidR="00BF1A16">
        <w:rPr>
          <w:b w:val="0"/>
          <w:bCs w:val="0"/>
          <w:lang w:val="en-US"/>
        </w:rPr>
      </w:r>
      <w:r w:rsidR="00BF1A16">
        <w:rPr>
          <w:b w:val="0"/>
          <w:bCs w:val="0"/>
          <w:lang w:val="en-US"/>
        </w:rPr>
        <w:fldChar w:fldCharType="separate"/>
      </w:r>
      <w:r w:rsidR="00B116A8">
        <w:t xml:space="preserve">Figure </w:t>
      </w:r>
      <w:r w:rsidR="00B116A8">
        <w:rPr>
          <w:noProof/>
        </w:rPr>
        <w:t>5</w:t>
      </w:r>
      <w:r w:rsidR="00BF1A16">
        <w:rPr>
          <w:b w:val="0"/>
          <w:bCs w:val="0"/>
          <w:lang w:val="en-US"/>
        </w:rPr>
        <w:fldChar w:fldCharType="end"/>
      </w:r>
      <w:r>
        <w:rPr>
          <w:b w:val="0"/>
          <w:bCs w:val="0"/>
          <w:lang w:val="en-US"/>
        </w:rPr>
        <w:t xml:space="preserve">, </w:t>
      </w:r>
      <w:r w:rsidR="003B6EB5">
        <w:rPr>
          <w:b w:val="0"/>
          <w:bCs w:val="0"/>
          <w:lang w:val="en-US"/>
        </w:rPr>
        <w:t xml:space="preserve">the two operators are both NTN operator. The operators configure additional spectrum to accommodate the maximum doppler frequency within its own licensed frequency block. </w:t>
      </w:r>
      <w:r w:rsidR="00147CC2">
        <w:rPr>
          <w:b w:val="0"/>
          <w:bCs w:val="0"/>
          <w:lang w:val="en-US"/>
        </w:rPr>
        <w:t>Whether to allow t</w:t>
      </w:r>
      <w:r w:rsidR="003B6EB5">
        <w:rPr>
          <w:b w:val="0"/>
          <w:bCs w:val="0"/>
          <w:lang w:val="en-US"/>
        </w:rPr>
        <w:t xml:space="preserve">he UE to transmit outside its assigned channel </w:t>
      </w:r>
      <w:r w:rsidR="00B116A8">
        <w:rPr>
          <w:b w:val="0"/>
          <w:bCs w:val="0"/>
          <w:lang w:val="en-US"/>
        </w:rPr>
        <w:t xml:space="preserve">may </w:t>
      </w:r>
      <w:r w:rsidR="00412D76">
        <w:rPr>
          <w:b w:val="0"/>
          <w:bCs w:val="0"/>
          <w:lang w:val="en-US"/>
        </w:rPr>
        <w:t>depend on the operators’ agreements</w:t>
      </w:r>
      <w:r w:rsidR="00B116A8">
        <w:rPr>
          <w:b w:val="0"/>
          <w:bCs w:val="0"/>
          <w:lang w:val="en-US"/>
        </w:rPr>
        <w:t xml:space="preserve"> and outside the RAN4 scope</w:t>
      </w:r>
      <w:r w:rsidR="00412D76">
        <w:rPr>
          <w:b w:val="0"/>
          <w:bCs w:val="0"/>
          <w:lang w:val="en-US"/>
        </w:rPr>
        <w:t xml:space="preserve">.  If only following the regulatory requirement, UE shall not be allowed to transmit outside its assigned channel bandwidth. But </w:t>
      </w:r>
      <w:r w:rsidR="00AF550A">
        <w:rPr>
          <w:b w:val="0"/>
          <w:bCs w:val="0"/>
          <w:lang w:val="en-US"/>
        </w:rPr>
        <w:t xml:space="preserve">as </w:t>
      </w:r>
      <w:r w:rsidR="003B6EB5">
        <w:rPr>
          <w:b w:val="0"/>
          <w:bCs w:val="0"/>
          <w:lang w:val="en-US"/>
        </w:rPr>
        <w:t xml:space="preserve">the guard band between two operators is fd1 +fd2, the interference caused by doppler frequency shift from adjacent cell </w:t>
      </w:r>
      <w:r w:rsidR="00B116A8">
        <w:rPr>
          <w:b w:val="0"/>
          <w:bCs w:val="0"/>
          <w:lang w:val="en-US"/>
        </w:rPr>
        <w:t xml:space="preserve">could </w:t>
      </w:r>
      <w:r w:rsidR="00412D76">
        <w:rPr>
          <w:b w:val="0"/>
          <w:bCs w:val="0"/>
          <w:lang w:val="en-US"/>
        </w:rPr>
        <w:t>be</w:t>
      </w:r>
      <w:r w:rsidR="003B6EB5">
        <w:rPr>
          <w:b w:val="0"/>
          <w:bCs w:val="0"/>
          <w:lang w:val="en-US"/>
        </w:rPr>
        <w:t xml:space="preserve"> protected by </w:t>
      </w:r>
      <w:r w:rsidR="00AF1FB0">
        <w:rPr>
          <w:b w:val="0"/>
          <w:bCs w:val="0"/>
          <w:lang w:val="en-US"/>
        </w:rPr>
        <w:t>operator own</w:t>
      </w:r>
      <w:r w:rsidR="003B6EB5">
        <w:rPr>
          <w:b w:val="0"/>
          <w:bCs w:val="0"/>
          <w:lang w:val="en-US"/>
        </w:rPr>
        <w:t xml:space="preserve"> guard band</w:t>
      </w:r>
      <w:r w:rsidR="000A208C">
        <w:rPr>
          <w:b w:val="0"/>
          <w:bCs w:val="0"/>
          <w:lang w:val="en-US"/>
        </w:rPr>
        <w:t xml:space="preserve"> </w:t>
      </w:r>
      <w:r w:rsidR="00B116A8">
        <w:rPr>
          <w:b w:val="0"/>
          <w:bCs w:val="0"/>
          <w:lang w:val="en-US"/>
        </w:rPr>
        <w:t xml:space="preserve">if fd1=fd2 </w:t>
      </w:r>
      <w:r w:rsidR="0045524A">
        <w:rPr>
          <w:b w:val="0"/>
          <w:bCs w:val="0"/>
          <w:lang w:val="en-US"/>
        </w:rPr>
        <w:t xml:space="preserve">and </w:t>
      </w:r>
      <w:r w:rsidR="00B116A8">
        <w:rPr>
          <w:b w:val="0"/>
          <w:bCs w:val="0"/>
          <w:lang w:val="en-US"/>
        </w:rPr>
        <w:t xml:space="preserve">in such a case, </w:t>
      </w:r>
      <w:r w:rsidR="0045524A">
        <w:rPr>
          <w:b w:val="0"/>
          <w:bCs w:val="0"/>
          <w:lang w:val="en-US"/>
        </w:rPr>
        <w:t xml:space="preserve">UE may </w:t>
      </w:r>
      <w:r w:rsidR="00B116A8">
        <w:rPr>
          <w:b w:val="0"/>
          <w:bCs w:val="0"/>
          <w:lang w:val="en-US"/>
        </w:rPr>
        <w:t xml:space="preserve">be </w:t>
      </w:r>
      <w:r w:rsidR="0045524A">
        <w:rPr>
          <w:b w:val="0"/>
          <w:bCs w:val="0"/>
          <w:lang w:val="en-US"/>
        </w:rPr>
        <w:t>allow</w:t>
      </w:r>
      <w:r w:rsidR="00B116A8">
        <w:rPr>
          <w:b w:val="0"/>
          <w:bCs w:val="0"/>
          <w:lang w:val="en-US"/>
        </w:rPr>
        <w:t>ed</w:t>
      </w:r>
      <w:r w:rsidR="0045524A">
        <w:rPr>
          <w:b w:val="0"/>
          <w:bCs w:val="0"/>
          <w:lang w:val="en-US"/>
        </w:rPr>
        <w:t xml:space="preserve"> to transmit outside its assigned </w:t>
      </w:r>
      <w:r w:rsidR="00AF1FB0">
        <w:rPr>
          <w:b w:val="0"/>
          <w:bCs w:val="0"/>
          <w:lang w:val="en-US"/>
        </w:rPr>
        <w:t>channel,</w:t>
      </w:r>
      <w:r w:rsidR="0045524A">
        <w:rPr>
          <w:b w:val="0"/>
          <w:bCs w:val="0"/>
          <w:lang w:val="en-US"/>
        </w:rPr>
        <w:t xml:space="preserve"> but </w:t>
      </w:r>
      <w:r w:rsidR="00AF1FB0">
        <w:rPr>
          <w:b w:val="0"/>
          <w:bCs w:val="0"/>
          <w:lang w:val="en-US"/>
        </w:rPr>
        <w:t xml:space="preserve">this is </w:t>
      </w:r>
      <w:r w:rsidR="0045524A">
        <w:rPr>
          <w:b w:val="0"/>
          <w:bCs w:val="0"/>
          <w:lang w:val="en-US"/>
        </w:rPr>
        <w:t>subject to operator’s agreements</w:t>
      </w:r>
      <w:r w:rsidR="003B6EB5">
        <w:rPr>
          <w:b w:val="0"/>
          <w:bCs w:val="0"/>
          <w:lang w:val="en-US"/>
        </w:rPr>
        <w:t xml:space="preserve">. </w:t>
      </w:r>
    </w:p>
    <w:p w14:paraId="11F65E70" w14:textId="37CB85BF" w:rsidR="003B6EB5" w:rsidRDefault="003B6EB5" w:rsidP="00EC6B95">
      <w:pPr>
        <w:pStyle w:val="Observation"/>
        <w:numPr>
          <w:ilvl w:val="0"/>
          <w:numId w:val="0"/>
        </w:numPr>
        <w:rPr>
          <w:b w:val="0"/>
          <w:bCs w:val="0"/>
          <w:lang w:val="en-US"/>
        </w:rPr>
      </w:pPr>
      <w:r>
        <w:rPr>
          <w:b w:val="0"/>
          <w:bCs w:val="0"/>
          <w:lang w:val="en-US"/>
        </w:rPr>
        <w:t>In scenario 3-2</w:t>
      </w:r>
      <w:r w:rsidR="00BF1A16">
        <w:rPr>
          <w:b w:val="0"/>
          <w:bCs w:val="0"/>
          <w:lang w:val="en-US"/>
        </w:rPr>
        <w:t xml:space="preserve"> in </w:t>
      </w:r>
      <w:r w:rsidR="00BF1A16">
        <w:rPr>
          <w:b w:val="0"/>
          <w:bCs w:val="0"/>
          <w:lang w:val="en-US"/>
        </w:rPr>
        <w:fldChar w:fldCharType="begin"/>
      </w:r>
      <w:r w:rsidR="00BF1A16">
        <w:rPr>
          <w:b w:val="0"/>
          <w:bCs w:val="0"/>
          <w:lang w:val="en-US"/>
        </w:rPr>
        <w:instrText xml:space="preserve"> REF _Ref118287608 \h </w:instrText>
      </w:r>
      <w:r w:rsidR="00BF1A16">
        <w:rPr>
          <w:b w:val="0"/>
          <w:bCs w:val="0"/>
          <w:lang w:val="en-US"/>
        </w:rPr>
      </w:r>
      <w:r w:rsidR="00BF1A16">
        <w:rPr>
          <w:b w:val="0"/>
          <w:bCs w:val="0"/>
          <w:lang w:val="en-US"/>
        </w:rPr>
        <w:fldChar w:fldCharType="separate"/>
      </w:r>
      <w:r w:rsidR="00B116A8">
        <w:t xml:space="preserve">Figure </w:t>
      </w:r>
      <w:r w:rsidR="00B116A8">
        <w:rPr>
          <w:noProof/>
        </w:rPr>
        <w:t>6</w:t>
      </w:r>
      <w:r w:rsidR="00BF1A16">
        <w:rPr>
          <w:b w:val="0"/>
          <w:bCs w:val="0"/>
          <w:lang w:val="en-US"/>
        </w:rPr>
        <w:fldChar w:fldCharType="end"/>
      </w:r>
      <w:r w:rsidR="00BF1A16">
        <w:rPr>
          <w:b w:val="0"/>
          <w:bCs w:val="0"/>
          <w:lang w:val="en-US"/>
        </w:rPr>
        <w:t xml:space="preserve"> </w:t>
      </w:r>
      <w:r w:rsidR="00BF1A16">
        <w:rPr>
          <w:b w:val="0"/>
          <w:bCs w:val="0"/>
          <w:lang w:val="en-US"/>
        </w:rPr>
        <w:fldChar w:fldCharType="begin"/>
      </w:r>
      <w:r w:rsidR="00BF1A16">
        <w:rPr>
          <w:b w:val="0"/>
          <w:bCs w:val="0"/>
          <w:lang w:val="en-US"/>
        </w:rPr>
        <w:instrText xml:space="preserve"> REF _Ref118287530 \h </w:instrText>
      </w:r>
      <w:r w:rsidR="00BF1A16">
        <w:rPr>
          <w:b w:val="0"/>
          <w:bCs w:val="0"/>
          <w:lang w:val="en-US"/>
        </w:rPr>
      </w:r>
      <w:r w:rsidR="00EB3707">
        <w:rPr>
          <w:b w:val="0"/>
          <w:bCs w:val="0"/>
          <w:lang w:val="en-US"/>
        </w:rPr>
        <w:fldChar w:fldCharType="separate"/>
      </w:r>
      <w:r w:rsidR="00BF1A16">
        <w:rPr>
          <w:b w:val="0"/>
          <w:bCs w:val="0"/>
          <w:lang w:val="en-US"/>
        </w:rPr>
        <w:fldChar w:fldCharType="end"/>
      </w:r>
      <w:r>
        <w:rPr>
          <w:b w:val="0"/>
          <w:bCs w:val="0"/>
          <w:lang w:val="en-US"/>
        </w:rPr>
        <w:t xml:space="preserve">, one of the operators is NTN and the other is from incumbent service. To comply the regulatory requirement, </w:t>
      </w:r>
      <w:r w:rsidR="008E4270">
        <w:rPr>
          <w:b w:val="0"/>
          <w:bCs w:val="0"/>
          <w:lang w:val="en-US"/>
        </w:rPr>
        <w:t xml:space="preserve">NTN operator need configure additionally the maximum doppler frequency at space station and UE is NOT allowed to transmit outside the configured channel. However, </w:t>
      </w:r>
      <w:r>
        <w:rPr>
          <w:b w:val="0"/>
          <w:bCs w:val="0"/>
          <w:lang w:val="en-US"/>
        </w:rPr>
        <w:t xml:space="preserve">NTN operator </w:t>
      </w:r>
      <w:r w:rsidR="008E4270">
        <w:rPr>
          <w:b w:val="0"/>
          <w:bCs w:val="0"/>
          <w:lang w:val="en-US"/>
        </w:rPr>
        <w:t>can configure</w:t>
      </w:r>
      <w:r>
        <w:rPr>
          <w:b w:val="0"/>
          <w:bCs w:val="0"/>
          <w:lang w:val="en-US"/>
        </w:rPr>
        <w:t xml:space="preserve"> </w:t>
      </w:r>
      <w:r w:rsidR="00AF550A">
        <w:rPr>
          <w:b w:val="0"/>
          <w:bCs w:val="0"/>
          <w:lang w:val="en-US"/>
        </w:rPr>
        <w:t>additional guard band of</w:t>
      </w:r>
      <w:r>
        <w:rPr>
          <w:b w:val="0"/>
          <w:bCs w:val="0"/>
          <w:lang w:val="en-US"/>
        </w:rPr>
        <w:t xml:space="preserve"> maximum doppler frequency shift as to prevent the UE co-channel interference leaking into the incumbent service.</w:t>
      </w:r>
      <w:r w:rsidR="008E4270">
        <w:rPr>
          <w:b w:val="0"/>
          <w:bCs w:val="0"/>
          <w:lang w:val="en-US"/>
        </w:rPr>
        <w:t xml:space="preserve"> This then would allow the UE to transmit outside its configured channel. </w:t>
      </w:r>
      <w:r>
        <w:rPr>
          <w:b w:val="0"/>
          <w:bCs w:val="0"/>
          <w:lang w:val="en-US"/>
        </w:rPr>
        <w:t xml:space="preserve"> </w:t>
      </w:r>
      <w:r w:rsidR="008E4270">
        <w:rPr>
          <w:b w:val="0"/>
          <w:bCs w:val="0"/>
          <w:lang w:val="en-US"/>
        </w:rPr>
        <w:t>However, this is not according to the regulatory and how to comply the regulatory requirement in this way need further discuss with regulatory body</w:t>
      </w:r>
      <w:r w:rsidR="00EC6B95">
        <w:rPr>
          <w:b w:val="0"/>
          <w:bCs w:val="0"/>
          <w:lang w:val="en-US"/>
        </w:rPr>
        <w:t xml:space="preserve">. </w:t>
      </w:r>
    </w:p>
    <w:p w14:paraId="50A87FCD" w14:textId="6B3BBA68" w:rsidR="00EC6B95" w:rsidRDefault="00EC6B95" w:rsidP="00EC6B95">
      <w:pPr>
        <w:pStyle w:val="Observation"/>
        <w:numPr>
          <w:ilvl w:val="0"/>
          <w:numId w:val="0"/>
        </w:numPr>
        <w:rPr>
          <w:b w:val="0"/>
          <w:bCs w:val="0"/>
          <w:lang w:val="en-US"/>
        </w:rPr>
      </w:pPr>
    </w:p>
    <w:p w14:paraId="1B950685" w14:textId="2578C49F" w:rsidR="00EC6B95" w:rsidRDefault="007F6336" w:rsidP="00FF550B">
      <w:pPr>
        <w:pStyle w:val="Observation"/>
        <w:rPr>
          <w:lang w:val="en-US"/>
        </w:rPr>
      </w:pPr>
      <w:bookmarkStart w:id="11" w:name="_Ref118733521"/>
      <w:r w:rsidRPr="00EC6B95">
        <w:rPr>
          <w:lang w:val="en-US"/>
        </w:rPr>
        <w:t xml:space="preserve">The UE </w:t>
      </w:r>
      <w:r w:rsidR="00E41928" w:rsidRPr="00EC6B95">
        <w:rPr>
          <w:lang w:val="en-US"/>
        </w:rPr>
        <w:t>can transmit outside the configured channel if the channel is within the operator frequency block and not adjacent to the other operator or at the band edge.</w:t>
      </w:r>
      <w:bookmarkEnd w:id="11"/>
      <w:r w:rsidR="00EC6B95">
        <w:rPr>
          <w:lang w:val="en-US"/>
        </w:rPr>
        <w:t xml:space="preserve"> </w:t>
      </w:r>
    </w:p>
    <w:p w14:paraId="37D98C1F" w14:textId="77777777" w:rsidR="00EC6B95" w:rsidRDefault="00EC6B95" w:rsidP="00EC6B95">
      <w:pPr>
        <w:pStyle w:val="Observation"/>
        <w:numPr>
          <w:ilvl w:val="0"/>
          <w:numId w:val="0"/>
        </w:numPr>
        <w:rPr>
          <w:b w:val="0"/>
          <w:bCs w:val="0"/>
          <w:lang w:val="en-US"/>
        </w:rPr>
      </w:pPr>
    </w:p>
    <w:p w14:paraId="070CD7B3" w14:textId="46068B42" w:rsidR="00E41928" w:rsidRPr="00FF550B" w:rsidRDefault="002A708F" w:rsidP="00FF550B">
      <w:pPr>
        <w:pStyle w:val="Observation"/>
        <w:rPr>
          <w:lang w:val="en-US"/>
        </w:rPr>
      </w:pPr>
      <w:bookmarkStart w:id="12" w:name="_Ref118733533"/>
      <w:r w:rsidRPr="00FF550B">
        <w:rPr>
          <w:lang w:val="en-US"/>
        </w:rPr>
        <w:t>UE is not allowed to transmit outside the assigned channel</w:t>
      </w:r>
      <w:r w:rsidR="00E41928" w:rsidRPr="00FF550B">
        <w:rPr>
          <w:lang w:val="en-US"/>
        </w:rPr>
        <w:t xml:space="preserve"> when the channel is adjacent to another NTN operator or incumbent service or at the band edge.</w:t>
      </w:r>
      <w:bookmarkEnd w:id="12"/>
      <w:r w:rsidR="00E41928" w:rsidRPr="00FF550B">
        <w:rPr>
          <w:lang w:val="en-US"/>
        </w:rPr>
        <w:t xml:space="preserve"> </w:t>
      </w:r>
    </w:p>
    <w:p w14:paraId="7B82CC4A" w14:textId="78E061E3" w:rsidR="00E41928" w:rsidRDefault="00E41928" w:rsidP="00E41928">
      <w:pPr>
        <w:pStyle w:val="Observation"/>
        <w:numPr>
          <w:ilvl w:val="0"/>
          <w:numId w:val="0"/>
        </w:numPr>
        <w:ind w:left="360" w:hanging="360"/>
        <w:rPr>
          <w:b w:val="0"/>
          <w:bCs w:val="0"/>
          <w:lang w:val="en-US"/>
        </w:rPr>
      </w:pPr>
    </w:p>
    <w:p w14:paraId="53182FE9" w14:textId="4DE3400A" w:rsidR="00E41928" w:rsidRDefault="00E41928" w:rsidP="00A87064">
      <w:pPr>
        <w:pStyle w:val="Observation"/>
        <w:numPr>
          <w:ilvl w:val="0"/>
          <w:numId w:val="0"/>
        </w:numPr>
        <w:ind w:left="360" w:hanging="360"/>
        <w:rPr>
          <w:b w:val="0"/>
          <w:bCs w:val="0"/>
          <w:lang w:val="en-US"/>
        </w:rPr>
      </w:pPr>
      <w:r>
        <w:rPr>
          <w:b w:val="0"/>
          <w:bCs w:val="0"/>
          <w:lang w:val="en-US"/>
        </w:rPr>
        <w:t>The above discussion is summarized in Table 1 below.</w:t>
      </w:r>
    </w:p>
    <w:p w14:paraId="0042724A" w14:textId="68D2A181" w:rsidR="00422004" w:rsidRPr="00E41928" w:rsidRDefault="00422004" w:rsidP="00FF550B">
      <w:pPr>
        <w:pStyle w:val="Observation"/>
        <w:numPr>
          <w:ilvl w:val="0"/>
          <w:numId w:val="0"/>
        </w:numPr>
        <w:rPr>
          <w:b w:val="0"/>
          <w:bCs w:val="0"/>
          <w:lang w:val="en-US"/>
        </w:rPr>
      </w:pPr>
    </w:p>
    <w:p w14:paraId="738ABD4F" w14:textId="375A4636" w:rsidR="00F4066B" w:rsidRDefault="00616642" w:rsidP="00B67CC2">
      <w:pPr>
        <w:pStyle w:val="Observation"/>
        <w:numPr>
          <w:ilvl w:val="0"/>
          <w:numId w:val="0"/>
        </w:numPr>
        <w:rPr>
          <w:b w:val="0"/>
          <w:bCs w:val="0"/>
          <w:lang w:val="en-US"/>
        </w:rPr>
      </w:pPr>
      <w:r>
        <w:rPr>
          <w:b w:val="0"/>
          <w:bCs w:val="0"/>
          <w:lang w:val="en-US"/>
        </w:rPr>
        <w:tab/>
      </w:r>
      <w:r>
        <w:rPr>
          <w:b w:val="0"/>
          <w:bCs w:val="0"/>
          <w:lang w:val="en-US"/>
        </w:rPr>
        <w:tab/>
      </w:r>
      <w:r w:rsidR="00F4066B">
        <w:rPr>
          <w:b w:val="0"/>
          <w:bCs w:val="0"/>
          <w:lang w:val="en-US"/>
        </w:rPr>
        <w:t xml:space="preserve">Table 1: Scenario summary </w:t>
      </w:r>
    </w:p>
    <w:tbl>
      <w:tblPr>
        <w:tblStyle w:val="TableGrid"/>
        <w:tblW w:w="0" w:type="auto"/>
        <w:jc w:val="center"/>
        <w:tblLook w:val="04A0" w:firstRow="1" w:lastRow="0" w:firstColumn="1" w:lastColumn="0" w:noHBand="0" w:noVBand="1"/>
      </w:tblPr>
      <w:tblGrid>
        <w:gridCol w:w="967"/>
        <w:gridCol w:w="1674"/>
        <w:gridCol w:w="1691"/>
        <w:gridCol w:w="3885"/>
      </w:tblGrid>
      <w:tr w:rsidR="00A40FBC" w14:paraId="3A901140" w14:textId="649DC75E" w:rsidTr="00A87064">
        <w:trPr>
          <w:jc w:val="center"/>
        </w:trPr>
        <w:tc>
          <w:tcPr>
            <w:tcW w:w="967" w:type="dxa"/>
          </w:tcPr>
          <w:p w14:paraId="70CA1441" w14:textId="3E36B631" w:rsidR="00A40FBC" w:rsidRDefault="00A40FBC" w:rsidP="00B67CC2">
            <w:pPr>
              <w:pStyle w:val="Observation"/>
              <w:numPr>
                <w:ilvl w:val="0"/>
                <w:numId w:val="0"/>
              </w:numPr>
              <w:rPr>
                <w:b w:val="0"/>
                <w:bCs w:val="0"/>
                <w:lang w:val="en-US"/>
              </w:rPr>
            </w:pPr>
            <w:r>
              <w:rPr>
                <w:b w:val="0"/>
                <w:bCs w:val="0"/>
                <w:lang w:val="en-US"/>
              </w:rPr>
              <w:t>Scenario #</w:t>
            </w:r>
          </w:p>
        </w:tc>
        <w:tc>
          <w:tcPr>
            <w:tcW w:w="1674" w:type="dxa"/>
          </w:tcPr>
          <w:p w14:paraId="7AFC4280" w14:textId="07E4F8C3" w:rsidR="00A40FBC" w:rsidRDefault="00A40FBC" w:rsidP="00B67CC2">
            <w:pPr>
              <w:pStyle w:val="Observation"/>
              <w:numPr>
                <w:ilvl w:val="0"/>
                <w:numId w:val="0"/>
              </w:numPr>
              <w:rPr>
                <w:b w:val="0"/>
                <w:bCs w:val="0"/>
                <w:lang w:val="en-US"/>
              </w:rPr>
            </w:pPr>
            <w:r>
              <w:rPr>
                <w:b w:val="0"/>
                <w:bCs w:val="0"/>
                <w:lang w:val="en-US"/>
              </w:rPr>
              <w:t>Allow UE to transmit outside the assigned channel bandwidth</w:t>
            </w:r>
          </w:p>
        </w:tc>
        <w:tc>
          <w:tcPr>
            <w:tcW w:w="1691" w:type="dxa"/>
          </w:tcPr>
          <w:p w14:paraId="3E53DA82" w14:textId="78BFB687" w:rsidR="00A40FBC" w:rsidRDefault="00A40FBC" w:rsidP="00552706">
            <w:pPr>
              <w:pStyle w:val="Observation"/>
              <w:numPr>
                <w:ilvl w:val="0"/>
                <w:numId w:val="0"/>
              </w:numPr>
              <w:rPr>
                <w:b w:val="0"/>
                <w:bCs w:val="0"/>
                <w:lang w:val="en-US"/>
              </w:rPr>
            </w:pPr>
            <w:r>
              <w:rPr>
                <w:b w:val="0"/>
                <w:bCs w:val="0"/>
                <w:lang w:val="en-US"/>
              </w:rPr>
              <w:t xml:space="preserve">UE Pre-comp </w:t>
            </w:r>
          </w:p>
          <w:p w14:paraId="76781AB1" w14:textId="041942E4" w:rsidR="00A40FBC" w:rsidRDefault="004D1804" w:rsidP="00552706">
            <w:pPr>
              <w:pStyle w:val="Observation"/>
              <w:numPr>
                <w:ilvl w:val="0"/>
                <w:numId w:val="0"/>
              </w:numPr>
              <w:rPr>
                <w:b w:val="0"/>
                <w:bCs w:val="0"/>
                <w:lang w:val="en-US"/>
              </w:rPr>
            </w:pPr>
            <w:r>
              <w:rPr>
                <w:b w:val="0"/>
                <w:bCs w:val="0"/>
                <w:lang w:val="en-US"/>
              </w:rPr>
              <w:t>function</w:t>
            </w:r>
          </w:p>
        </w:tc>
        <w:tc>
          <w:tcPr>
            <w:tcW w:w="3885" w:type="dxa"/>
          </w:tcPr>
          <w:p w14:paraId="13F652AB" w14:textId="08164B29" w:rsidR="00A40FBC" w:rsidRDefault="00A40FBC" w:rsidP="00B67CC2">
            <w:pPr>
              <w:pStyle w:val="Observation"/>
              <w:numPr>
                <w:ilvl w:val="0"/>
                <w:numId w:val="0"/>
              </w:numPr>
              <w:rPr>
                <w:b w:val="0"/>
                <w:bCs w:val="0"/>
                <w:lang w:val="en-US"/>
              </w:rPr>
            </w:pPr>
            <w:r>
              <w:rPr>
                <w:b w:val="0"/>
                <w:bCs w:val="0"/>
                <w:lang w:val="en-US"/>
              </w:rPr>
              <w:t>Other comments and condition</w:t>
            </w:r>
          </w:p>
        </w:tc>
      </w:tr>
      <w:tr w:rsidR="00A40FBC" w14:paraId="2CD74390" w14:textId="24CC0AB1" w:rsidTr="00A87064">
        <w:trPr>
          <w:jc w:val="center"/>
        </w:trPr>
        <w:tc>
          <w:tcPr>
            <w:tcW w:w="967" w:type="dxa"/>
          </w:tcPr>
          <w:p w14:paraId="43F29BB1" w14:textId="209FE39B" w:rsidR="00A40FBC" w:rsidRDefault="00A40FBC" w:rsidP="00B67CC2">
            <w:pPr>
              <w:pStyle w:val="Observation"/>
              <w:numPr>
                <w:ilvl w:val="0"/>
                <w:numId w:val="0"/>
              </w:numPr>
              <w:rPr>
                <w:b w:val="0"/>
                <w:bCs w:val="0"/>
                <w:lang w:val="en-US"/>
              </w:rPr>
            </w:pPr>
            <w:r>
              <w:rPr>
                <w:b w:val="0"/>
                <w:bCs w:val="0"/>
                <w:lang w:val="en-US"/>
              </w:rPr>
              <w:t>1</w:t>
            </w:r>
          </w:p>
        </w:tc>
        <w:tc>
          <w:tcPr>
            <w:tcW w:w="1674" w:type="dxa"/>
          </w:tcPr>
          <w:p w14:paraId="6B656B6E" w14:textId="6DEE5459" w:rsidR="00A40FBC" w:rsidRDefault="00A40FBC" w:rsidP="003B3BCF">
            <w:pPr>
              <w:pStyle w:val="Observation"/>
              <w:numPr>
                <w:ilvl w:val="0"/>
                <w:numId w:val="0"/>
              </w:numPr>
              <w:ind w:left="360"/>
              <w:jc w:val="center"/>
              <w:rPr>
                <w:b w:val="0"/>
                <w:bCs w:val="0"/>
                <w:lang w:val="en-US"/>
              </w:rPr>
            </w:pPr>
            <w:r>
              <w:rPr>
                <w:b w:val="0"/>
                <w:bCs w:val="0"/>
                <w:lang w:val="en-US"/>
              </w:rPr>
              <w:t>NO</w:t>
            </w:r>
          </w:p>
        </w:tc>
        <w:tc>
          <w:tcPr>
            <w:tcW w:w="1691" w:type="dxa"/>
          </w:tcPr>
          <w:p w14:paraId="363DBE7B" w14:textId="08C21B1E" w:rsidR="00A40FBC" w:rsidRPr="006F2AE3" w:rsidRDefault="004D1804" w:rsidP="00B67CC2">
            <w:pPr>
              <w:pStyle w:val="Observation"/>
              <w:numPr>
                <w:ilvl w:val="0"/>
                <w:numId w:val="0"/>
              </w:numPr>
              <w:rPr>
                <w:b w:val="0"/>
                <w:bCs w:val="0"/>
                <w:lang w:val="en-US"/>
              </w:rPr>
            </w:pPr>
            <w:r>
              <w:rPr>
                <w:b w:val="0"/>
                <w:bCs w:val="0"/>
                <w:lang w:val="en-US"/>
              </w:rPr>
              <w:t xml:space="preserve">Disabled </w:t>
            </w:r>
          </w:p>
        </w:tc>
        <w:tc>
          <w:tcPr>
            <w:tcW w:w="3885" w:type="dxa"/>
          </w:tcPr>
          <w:p w14:paraId="42C2FAB9" w14:textId="69E19D5F" w:rsidR="00A40FBC" w:rsidRDefault="00A40FBC" w:rsidP="00B67CC2">
            <w:pPr>
              <w:pStyle w:val="Observation"/>
              <w:numPr>
                <w:ilvl w:val="0"/>
                <w:numId w:val="0"/>
              </w:numPr>
              <w:rPr>
                <w:b w:val="0"/>
                <w:bCs w:val="0"/>
                <w:lang w:val="en-US"/>
              </w:rPr>
            </w:pPr>
            <w:r>
              <w:rPr>
                <w:b w:val="0"/>
                <w:bCs w:val="0"/>
                <w:lang w:val="en-US"/>
              </w:rPr>
              <w:t>Comply the regulatory requirement</w:t>
            </w:r>
          </w:p>
        </w:tc>
      </w:tr>
      <w:tr w:rsidR="00A40FBC" w14:paraId="242AA0C1" w14:textId="2AD1623B" w:rsidTr="00A87064">
        <w:trPr>
          <w:jc w:val="center"/>
        </w:trPr>
        <w:tc>
          <w:tcPr>
            <w:tcW w:w="967" w:type="dxa"/>
          </w:tcPr>
          <w:p w14:paraId="5947B4AB" w14:textId="1B2C6C16" w:rsidR="00A40FBC" w:rsidRDefault="00A40FBC" w:rsidP="006F2AE3">
            <w:pPr>
              <w:pStyle w:val="Observation"/>
              <w:numPr>
                <w:ilvl w:val="0"/>
                <w:numId w:val="0"/>
              </w:numPr>
              <w:rPr>
                <w:b w:val="0"/>
                <w:bCs w:val="0"/>
                <w:lang w:val="en-US"/>
              </w:rPr>
            </w:pPr>
            <w:r>
              <w:rPr>
                <w:b w:val="0"/>
                <w:bCs w:val="0"/>
                <w:lang w:val="en-US"/>
              </w:rPr>
              <w:t>2-1</w:t>
            </w:r>
          </w:p>
        </w:tc>
        <w:tc>
          <w:tcPr>
            <w:tcW w:w="1674" w:type="dxa"/>
          </w:tcPr>
          <w:p w14:paraId="0252238E" w14:textId="4A0E5396" w:rsidR="00A40FBC" w:rsidRDefault="00A40FBC" w:rsidP="006F2AE3">
            <w:pPr>
              <w:pStyle w:val="Observation"/>
              <w:numPr>
                <w:ilvl w:val="0"/>
                <w:numId w:val="0"/>
              </w:numPr>
              <w:jc w:val="center"/>
              <w:rPr>
                <w:b w:val="0"/>
                <w:bCs w:val="0"/>
                <w:lang w:val="en-US"/>
              </w:rPr>
            </w:pPr>
            <w:r>
              <w:rPr>
                <w:b w:val="0"/>
                <w:bCs w:val="0"/>
                <w:lang w:val="en-US"/>
              </w:rPr>
              <w:t>Yes</w:t>
            </w:r>
          </w:p>
        </w:tc>
        <w:tc>
          <w:tcPr>
            <w:tcW w:w="1691" w:type="dxa"/>
          </w:tcPr>
          <w:p w14:paraId="30FE9BA1" w14:textId="1997141C" w:rsidR="00A40FBC" w:rsidRPr="006F2AE3" w:rsidRDefault="004D1804" w:rsidP="006F2AE3">
            <w:pPr>
              <w:pStyle w:val="Observation"/>
              <w:numPr>
                <w:ilvl w:val="0"/>
                <w:numId w:val="0"/>
              </w:numPr>
              <w:rPr>
                <w:b w:val="0"/>
                <w:bCs w:val="0"/>
                <w:lang w:val="en-US"/>
              </w:rPr>
            </w:pPr>
            <w:r>
              <w:rPr>
                <w:b w:val="0"/>
                <w:bCs w:val="0"/>
                <w:lang w:val="en-US"/>
              </w:rPr>
              <w:t>Enabled</w:t>
            </w:r>
          </w:p>
        </w:tc>
        <w:tc>
          <w:tcPr>
            <w:tcW w:w="3885" w:type="dxa"/>
          </w:tcPr>
          <w:p w14:paraId="3DB2408F" w14:textId="4529CB67" w:rsidR="00A40FBC" w:rsidRDefault="00A40FBC" w:rsidP="006F2AE3">
            <w:pPr>
              <w:pStyle w:val="Observation"/>
              <w:numPr>
                <w:ilvl w:val="0"/>
                <w:numId w:val="0"/>
              </w:numPr>
              <w:rPr>
                <w:b w:val="0"/>
                <w:bCs w:val="0"/>
                <w:lang w:val="en-US"/>
              </w:rPr>
            </w:pPr>
            <w:r>
              <w:rPr>
                <w:b w:val="0"/>
                <w:bCs w:val="0"/>
                <w:lang w:val="en-US"/>
              </w:rPr>
              <w:t>Within the operators own licensed frequency block</w:t>
            </w:r>
          </w:p>
        </w:tc>
      </w:tr>
      <w:tr w:rsidR="00A40FBC" w14:paraId="6C4C188C" w14:textId="77777777" w:rsidTr="00A87064">
        <w:trPr>
          <w:jc w:val="center"/>
        </w:trPr>
        <w:tc>
          <w:tcPr>
            <w:tcW w:w="967" w:type="dxa"/>
          </w:tcPr>
          <w:p w14:paraId="5BA79F92" w14:textId="374C1D14" w:rsidR="00A40FBC" w:rsidRDefault="00A40FBC" w:rsidP="006F2AE3">
            <w:pPr>
              <w:pStyle w:val="Observation"/>
              <w:numPr>
                <w:ilvl w:val="0"/>
                <w:numId w:val="0"/>
              </w:numPr>
              <w:rPr>
                <w:b w:val="0"/>
                <w:bCs w:val="0"/>
                <w:lang w:val="en-US"/>
              </w:rPr>
            </w:pPr>
            <w:r>
              <w:rPr>
                <w:b w:val="0"/>
                <w:bCs w:val="0"/>
                <w:lang w:val="en-US"/>
              </w:rPr>
              <w:t>2-2</w:t>
            </w:r>
          </w:p>
        </w:tc>
        <w:tc>
          <w:tcPr>
            <w:tcW w:w="1674" w:type="dxa"/>
          </w:tcPr>
          <w:p w14:paraId="48A17A48" w14:textId="750D57DC" w:rsidR="00A40FBC" w:rsidRDefault="004D1804" w:rsidP="006F2AE3">
            <w:pPr>
              <w:pStyle w:val="Observation"/>
              <w:numPr>
                <w:ilvl w:val="0"/>
                <w:numId w:val="0"/>
              </w:numPr>
              <w:jc w:val="center"/>
              <w:rPr>
                <w:b w:val="0"/>
                <w:bCs w:val="0"/>
                <w:lang w:val="en-US"/>
              </w:rPr>
            </w:pPr>
            <w:r>
              <w:rPr>
                <w:b w:val="0"/>
                <w:bCs w:val="0"/>
                <w:lang w:val="en-US"/>
              </w:rPr>
              <w:t>yes</w:t>
            </w:r>
          </w:p>
        </w:tc>
        <w:tc>
          <w:tcPr>
            <w:tcW w:w="1691" w:type="dxa"/>
          </w:tcPr>
          <w:p w14:paraId="75DCF89D" w14:textId="4FCE09FB" w:rsidR="00A40FBC" w:rsidRPr="006F2AE3" w:rsidRDefault="004D1804" w:rsidP="006F2AE3">
            <w:pPr>
              <w:pStyle w:val="Observation"/>
              <w:numPr>
                <w:ilvl w:val="0"/>
                <w:numId w:val="0"/>
              </w:numPr>
              <w:rPr>
                <w:b w:val="0"/>
                <w:bCs w:val="0"/>
                <w:lang w:val="en-US"/>
              </w:rPr>
            </w:pPr>
            <w:r>
              <w:rPr>
                <w:b w:val="0"/>
                <w:bCs w:val="0"/>
                <w:lang w:val="en-US"/>
              </w:rPr>
              <w:t>Enabled</w:t>
            </w:r>
          </w:p>
        </w:tc>
        <w:tc>
          <w:tcPr>
            <w:tcW w:w="3885" w:type="dxa"/>
          </w:tcPr>
          <w:p w14:paraId="19D06F57" w14:textId="5B6672B5" w:rsidR="00A40FBC" w:rsidRPr="00A87064" w:rsidRDefault="004D1804" w:rsidP="006F2AE3">
            <w:pPr>
              <w:pStyle w:val="Observation"/>
              <w:numPr>
                <w:ilvl w:val="0"/>
                <w:numId w:val="0"/>
              </w:numPr>
              <w:rPr>
                <w:b w:val="0"/>
                <w:bCs w:val="0"/>
              </w:rPr>
            </w:pPr>
            <w:r>
              <w:rPr>
                <w:b w:val="0"/>
                <w:bCs w:val="0"/>
                <w:lang w:val="en-US"/>
              </w:rPr>
              <w:t>Within the operators own licensed frequency block</w:t>
            </w:r>
          </w:p>
        </w:tc>
      </w:tr>
      <w:tr w:rsidR="00A40FBC" w14:paraId="10F67549" w14:textId="5088971F" w:rsidTr="00A87064">
        <w:trPr>
          <w:jc w:val="center"/>
        </w:trPr>
        <w:tc>
          <w:tcPr>
            <w:tcW w:w="967" w:type="dxa"/>
          </w:tcPr>
          <w:p w14:paraId="229D32A0" w14:textId="140BD029" w:rsidR="00A40FBC" w:rsidRDefault="00A40FBC" w:rsidP="006F2AE3">
            <w:pPr>
              <w:pStyle w:val="Observation"/>
              <w:numPr>
                <w:ilvl w:val="0"/>
                <w:numId w:val="0"/>
              </w:numPr>
              <w:rPr>
                <w:b w:val="0"/>
                <w:bCs w:val="0"/>
                <w:lang w:val="en-US"/>
              </w:rPr>
            </w:pPr>
            <w:r>
              <w:rPr>
                <w:b w:val="0"/>
                <w:bCs w:val="0"/>
                <w:lang w:val="en-US"/>
              </w:rPr>
              <w:t>3-1</w:t>
            </w:r>
          </w:p>
        </w:tc>
        <w:tc>
          <w:tcPr>
            <w:tcW w:w="1674" w:type="dxa"/>
          </w:tcPr>
          <w:p w14:paraId="7345D8B7" w14:textId="53EB3137" w:rsidR="00A40FBC" w:rsidRDefault="00A40FBC" w:rsidP="006F2AE3">
            <w:pPr>
              <w:pStyle w:val="Observation"/>
              <w:numPr>
                <w:ilvl w:val="0"/>
                <w:numId w:val="0"/>
              </w:numPr>
              <w:ind w:left="360" w:hanging="360"/>
              <w:jc w:val="center"/>
              <w:rPr>
                <w:b w:val="0"/>
                <w:bCs w:val="0"/>
                <w:lang w:val="en-US"/>
              </w:rPr>
            </w:pPr>
            <w:r>
              <w:rPr>
                <w:b w:val="0"/>
                <w:bCs w:val="0"/>
                <w:lang w:val="en-US"/>
              </w:rPr>
              <w:t>NO</w:t>
            </w:r>
          </w:p>
          <w:p w14:paraId="74E504CF" w14:textId="1B3C6053" w:rsidR="00A40FBC" w:rsidRDefault="00A40FBC" w:rsidP="006F2AE3">
            <w:pPr>
              <w:pStyle w:val="Observation"/>
              <w:numPr>
                <w:ilvl w:val="0"/>
                <w:numId w:val="0"/>
              </w:numPr>
              <w:ind w:left="360" w:hanging="360"/>
              <w:jc w:val="center"/>
              <w:rPr>
                <w:b w:val="0"/>
                <w:bCs w:val="0"/>
                <w:lang w:val="en-US"/>
              </w:rPr>
            </w:pPr>
          </w:p>
        </w:tc>
        <w:tc>
          <w:tcPr>
            <w:tcW w:w="1691" w:type="dxa"/>
          </w:tcPr>
          <w:p w14:paraId="187A6F71" w14:textId="76481CFD" w:rsidR="00A40FBC" w:rsidRPr="006F2AE3" w:rsidRDefault="001F2AF9" w:rsidP="006F2AE3">
            <w:pPr>
              <w:pStyle w:val="Observation"/>
              <w:numPr>
                <w:ilvl w:val="0"/>
                <w:numId w:val="0"/>
              </w:numPr>
              <w:rPr>
                <w:b w:val="0"/>
                <w:bCs w:val="0"/>
                <w:lang w:val="en-US"/>
              </w:rPr>
            </w:pPr>
            <w:r>
              <w:rPr>
                <w:b w:val="0"/>
                <w:bCs w:val="0"/>
                <w:lang w:val="en-US"/>
              </w:rPr>
              <w:t xml:space="preserve">Disabled </w:t>
            </w:r>
          </w:p>
        </w:tc>
        <w:tc>
          <w:tcPr>
            <w:tcW w:w="3885" w:type="dxa"/>
          </w:tcPr>
          <w:p w14:paraId="2DF6F9C0" w14:textId="478D0D62" w:rsidR="00A40FBC" w:rsidRDefault="00A40FBC" w:rsidP="006F2AE3">
            <w:pPr>
              <w:pStyle w:val="Observation"/>
              <w:numPr>
                <w:ilvl w:val="0"/>
                <w:numId w:val="0"/>
              </w:numPr>
              <w:rPr>
                <w:b w:val="0"/>
                <w:bCs w:val="0"/>
                <w:lang w:val="en-US"/>
              </w:rPr>
            </w:pPr>
            <w:r>
              <w:rPr>
                <w:b w:val="0"/>
                <w:bCs w:val="0"/>
                <w:lang w:val="en-US"/>
              </w:rPr>
              <w:t xml:space="preserve">Need to comply the regulatory requirement </w:t>
            </w:r>
            <w:r w:rsidR="001F2AF9">
              <w:rPr>
                <w:b w:val="0"/>
                <w:bCs w:val="0"/>
                <w:lang w:val="en-US"/>
              </w:rPr>
              <w:t>when adjacent to another operator</w:t>
            </w:r>
            <w:r>
              <w:rPr>
                <w:b w:val="0"/>
                <w:bCs w:val="0"/>
                <w:lang w:val="en-US"/>
              </w:rPr>
              <w:t xml:space="preserve">, </w:t>
            </w:r>
          </w:p>
          <w:p w14:paraId="231A5ED3" w14:textId="09474764" w:rsidR="00A40FBC" w:rsidRDefault="00A40FBC" w:rsidP="006F2AE3">
            <w:pPr>
              <w:pStyle w:val="Observation"/>
              <w:numPr>
                <w:ilvl w:val="0"/>
                <w:numId w:val="0"/>
              </w:numPr>
              <w:rPr>
                <w:b w:val="0"/>
                <w:bCs w:val="0"/>
                <w:lang w:val="en-US"/>
              </w:rPr>
            </w:pPr>
            <w:r>
              <w:rPr>
                <w:b w:val="0"/>
                <w:bCs w:val="0"/>
                <w:lang w:val="en-US"/>
              </w:rPr>
              <w:t xml:space="preserve">UE may allow to transmit outside its assigned channel subjects to </w:t>
            </w:r>
            <w:r w:rsidR="001F2AF9">
              <w:rPr>
                <w:b w:val="0"/>
                <w:bCs w:val="0"/>
                <w:lang w:val="en-US"/>
              </w:rPr>
              <w:t>operators’</w:t>
            </w:r>
            <w:r>
              <w:rPr>
                <w:b w:val="0"/>
                <w:bCs w:val="0"/>
                <w:lang w:val="en-US"/>
              </w:rPr>
              <w:t xml:space="preserve"> agreements</w:t>
            </w:r>
            <w:r w:rsidR="003A0679">
              <w:rPr>
                <w:b w:val="0"/>
                <w:bCs w:val="0"/>
                <w:lang w:val="en-US"/>
              </w:rPr>
              <w:t xml:space="preserve"> but outside RAN4 scope</w:t>
            </w:r>
            <w:r>
              <w:rPr>
                <w:b w:val="0"/>
                <w:bCs w:val="0"/>
                <w:lang w:val="en-US"/>
              </w:rPr>
              <w:t>.</w:t>
            </w:r>
          </w:p>
        </w:tc>
      </w:tr>
      <w:tr w:rsidR="00A40FBC" w14:paraId="6D7189EA" w14:textId="77777777" w:rsidTr="00A87064">
        <w:trPr>
          <w:jc w:val="center"/>
        </w:trPr>
        <w:tc>
          <w:tcPr>
            <w:tcW w:w="967" w:type="dxa"/>
          </w:tcPr>
          <w:p w14:paraId="01747535" w14:textId="19AF8816" w:rsidR="00A40FBC" w:rsidRDefault="00A40FBC" w:rsidP="006F2AE3">
            <w:pPr>
              <w:pStyle w:val="Observation"/>
              <w:numPr>
                <w:ilvl w:val="0"/>
                <w:numId w:val="0"/>
              </w:numPr>
              <w:rPr>
                <w:b w:val="0"/>
                <w:bCs w:val="0"/>
                <w:lang w:val="en-US"/>
              </w:rPr>
            </w:pPr>
            <w:r>
              <w:rPr>
                <w:b w:val="0"/>
                <w:bCs w:val="0"/>
                <w:lang w:val="en-US"/>
              </w:rPr>
              <w:t>3-2</w:t>
            </w:r>
          </w:p>
        </w:tc>
        <w:tc>
          <w:tcPr>
            <w:tcW w:w="1674" w:type="dxa"/>
          </w:tcPr>
          <w:p w14:paraId="1DB90E76" w14:textId="0E8A7231" w:rsidR="00A40FBC" w:rsidRDefault="00A40FBC" w:rsidP="006F2AE3">
            <w:pPr>
              <w:pStyle w:val="Observation"/>
              <w:numPr>
                <w:ilvl w:val="0"/>
                <w:numId w:val="0"/>
              </w:numPr>
              <w:ind w:left="360" w:hanging="360"/>
              <w:jc w:val="center"/>
              <w:rPr>
                <w:b w:val="0"/>
                <w:bCs w:val="0"/>
                <w:lang w:val="en-US"/>
              </w:rPr>
            </w:pPr>
            <w:r>
              <w:rPr>
                <w:b w:val="0"/>
                <w:bCs w:val="0"/>
                <w:lang w:val="en-US"/>
              </w:rPr>
              <w:t>NO</w:t>
            </w:r>
          </w:p>
          <w:p w14:paraId="6A27DBBF" w14:textId="704B7161" w:rsidR="00A40FBC" w:rsidRDefault="00A40FBC" w:rsidP="006F2AE3">
            <w:pPr>
              <w:pStyle w:val="Observation"/>
              <w:numPr>
                <w:ilvl w:val="0"/>
                <w:numId w:val="0"/>
              </w:numPr>
              <w:ind w:left="360" w:hanging="360"/>
              <w:jc w:val="center"/>
              <w:rPr>
                <w:b w:val="0"/>
                <w:bCs w:val="0"/>
                <w:lang w:val="en-US"/>
              </w:rPr>
            </w:pPr>
          </w:p>
        </w:tc>
        <w:tc>
          <w:tcPr>
            <w:tcW w:w="1691" w:type="dxa"/>
          </w:tcPr>
          <w:p w14:paraId="195E3999" w14:textId="19497D31" w:rsidR="00A40FBC" w:rsidRPr="006F2AE3" w:rsidRDefault="001F2AF9" w:rsidP="006F2AE3">
            <w:pPr>
              <w:pStyle w:val="Observation"/>
              <w:numPr>
                <w:ilvl w:val="0"/>
                <w:numId w:val="0"/>
              </w:numPr>
              <w:rPr>
                <w:b w:val="0"/>
                <w:bCs w:val="0"/>
                <w:lang w:val="en-US"/>
              </w:rPr>
            </w:pPr>
            <w:r>
              <w:rPr>
                <w:b w:val="0"/>
                <w:bCs w:val="0"/>
                <w:lang w:val="en-US"/>
              </w:rPr>
              <w:t>Disabled</w:t>
            </w:r>
          </w:p>
        </w:tc>
        <w:tc>
          <w:tcPr>
            <w:tcW w:w="3885" w:type="dxa"/>
          </w:tcPr>
          <w:p w14:paraId="683871F5" w14:textId="77777777" w:rsidR="00A40FBC" w:rsidRDefault="00A40FBC" w:rsidP="006F2AE3">
            <w:pPr>
              <w:pStyle w:val="Observation"/>
              <w:numPr>
                <w:ilvl w:val="0"/>
                <w:numId w:val="0"/>
              </w:numPr>
              <w:rPr>
                <w:b w:val="0"/>
                <w:bCs w:val="0"/>
                <w:lang w:val="en-US"/>
              </w:rPr>
            </w:pPr>
            <w:r>
              <w:rPr>
                <w:b w:val="0"/>
                <w:bCs w:val="0"/>
                <w:lang w:val="en-US"/>
              </w:rPr>
              <w:t xml:space="preserve">Need to comply the regulatory requirement at the frequency block edge from one operator. </w:t>
            </w:r>
          </w:p>
          <w:p w14:paraId="4D2A5E54" w14:textId="4D50732F" w:rsidR="00A40FBC" w:rsidRDefault="00A40FBC" w:rsidP="006F2AE3">
            <w:pPr>
              <w:pStyle w:val="Observation"/>
              <w:numPr>
                <w:ilvl w:val="0"/>
                <w:numId w:val="0"/>
              </w:numPr>
              <w:rPr>
                <w:b w:val="0"/>
                <w:bCs w:val="0"/>
                <w:lang w:val="en-US"/>
              </w:rPr>
            </w:pPr>
            <w:r>
              <w:rPr>
                <w:b w:val="0"/>
                <w:bCs w:val="0"/>
                <w:lang w:val="en-US"/>
              </w:rPr>
              <w:t xml:space="preserve">UE may allow to transmit outside its assigned channel if additional guard band could protect </w:t>
            </w:r>
            <w:r>
              <w:rPr>
                <w:b w:val="0"/>
                <w:bCs w:val="0"/>
                <w:lang w:val="en-US"/>
              </w:rPr>
              <w:lastRenderedPageBreak/>
              <w:t>the interference caused by UE pre-comp</w:t>
            </w:r>
            <w:r w:rsidR="00EC6B95">
              <w:rPr>
                <w:b w:val="0"/>
                <w:bCs w:val="0"/>
                <w:lang w:val="en-US"/>
              </w:rPr>
              <w:t xml:space="preserve"> but outside RAN4 scope.</w:t>
            </w:r>
          </w:p>
        </w:tc>
      </w:tr>
    </w:tbl>
    <w:p w14:paraId="24489A03" w14:textId="77777777" w:rsidR="00422004" w:rsidRPr="00C57042" w:rsidRDefault="00422004" w:rsidP="00B67CC2">
      <w:pPr>
        <w:pStyle w:val="Observation"/>
        <w:numPr>
          <w:ilvl w:val="0"/>
          <w:numId w:val="0"/>
        </w:numPr>
        <w:rPr>
          <w:b w:val="0"/>
          <w:bCs w:val="0"/>
          <w:lang w:val="en-US"/>
        </w:rPr>
      </w:pPr>
    </w:p>
    <w:p w14:paraId="22F9761C" w14:textId="4EEB94EF" w:rsidR="00142DE2" w:rsidRDefault="00352944" w:rsidP="006F261A">
      <w:pPr>
        <w:pStyle w:val="Observation"/>
        <w:numPr>
          <w:ilvl w:val="0"/>
          <w:numId w:val="0"/>
        </w:numPr>
        <w:rPr>
          <w:b w:val="0"/>
          <w:bCs w:val="0"/>
          <w:lang w:val="en-US"/>
        </w:rPr>
      </w:pPr>
      <w:r>
        <w:rPr>
          <w:b w:val="0"/>
          <w:bCs w:val="0"/>
          <w:lang w:val="en-US"/>
        </w:rPr>
        <w:t>Current RAN1 specification allow the UE to make the pre-compensation for doppler frequency</w:t>
      </w:r>
      <w:r w:rsidR="005D7B95">
        <w:rPr>
          <w:b w:val="0"/>
          <w:bCs w:val="0"/>
          <w:lang w:val="en-US"/>
        </w:rPr>
        <w:t xml:space="preserve"> during the RRC connection</w:t>
      </w:r>
      <w:r>
        <w:rPr>
          <w:b w:val="0"/>
          <w:bCs w:val="0"/>
          <w:lang w:val="en-US"/>
        </w:rPr>
        <w:t xml:space="preserve">. According to discussion above, there are circumstances that UE is not allowed to transmit outside its assigned channel bandwidth to comply current regulatory requirement. There are possible cases to allow the UE to transmit outside its assigned channel as discussed in scenario 3-1 and 3-2, but </w:t>
      </w:r>
      <w:r w:rsidR="005D7B95">
        <w:rPr>
          <w:b w:val="0"/>
          <w:bCs w:val="0"/>
          <w:lang w:val="en-US"/>
        </w:rPr>
        <w:t xml:space="preserve">this would need additional operator’s agreement or different interpretation of the current regulatory requirement and </w:t>
      </w:r>
      <w:r w:rsidR="003D224B">
        <w:rPr>
          <w:b w:val="0"/>
          <w:bCs w:val="0"/>
          <w:lang w:val="en-US"/>
        </w:rPr>
        <w:t>not within the RAN4 scope</w:t>
      </w:r>
      <w:r w:rsidR="005D7B95">
        <w:rPr>
          <w:b w:val="0"/>
          <w:bCs w:val="0"/>
          <w:lang w:val="en-US"/>
        </w:rPr>
        <w:t xml:space="preserve">. A LS would be needed to RAN1 to notify RAN1 to add condition on such pre-comp, </w:t>
      </w:r>
      <w:proofErr w:type="spellStart"/>
      <w:r w:rsidR="005D7B95">
        <w:rPr>
          <w:b w:val="0"/>
          <w:bCs w:val="0"/>
          <w:lang w:val="en-US"/>
        </w:rPr>
        <w:t>e.g</w:t>
      </w:r>
      <w:proofErr w:type="spellEnd"/>
      <w:r w:rsidR="005D7B95">
        <w:rPr>
          <w:b w:val="0"/>
          <w:bCs w:val="0"/>
          <w:lang w:val="en-US"/>
        </w:rPr>
        <w:t xml:space="preserve"> not allowed to transmit outside its assigned channel to comply the regulatory requirement at the channel adjacent to another operator</w:t>
      </w:r>
      <w:r w:rsidR="003D224B">
        <w:rPr>
          <w:b w:val="0"/>
          <w:bCs w:val="0"/>
          <w:lang w:val="en-US"/>
        </w:rPr>
        <w:t xml:space="preserve"> and the band edge</w:t>
      </w:r>
      <w:r w:rsidR="005D7B95">
        <w:rPr>
          <w:b w:val="0"/>
          <w:bCs w:val="0"/>
          <w:lang w:val="en-US"/>
        </w:rPr>
        <w:t>.</w:t>
      </w:r>
    </w:p>
    <w:p w14:paraId="0A904C5D" w14:textId="77777777" w:rsidR="00DE515F" w:rsidRDefault="00DE515F" w:rsidP="006F261A">
      <w:pPr>
        <w:pStyle w:val="Observation"/>
        <w:numPr>
          <w:ilvl w:val="0"/>
          <w:numId w:val="0"/>
        </w:numPr>
        <w:rPr>
          <w:b w:val="0"/>
          <w:bCs w:val="0"/>
          <w:lang w:val="en-US"/>
        </w:rPr>
      </w:pPr>
    </w:p>
    <w:p w14:paraId="724869F4" w14:textId="1AD09764" w:rsidR="006F261A" w:rsidRPr="006F261A" w:rsidRDefault="006F261A" w:rsidP="005D7B95">
      <w:pPr>
        <w:pStyle w:val="Proposal"/>
        <w:rPr>
          <w:lang w:val="en-US"/>
        </w:rPr>
      </w:pPr>
      <w:bookmarkStart w:id="13" w:name="_Ref118733542"/>
      <w:r>
        <w:rPr>
          <w:lang w:val="en-US"/>
        </w:rPr>
        <w:t xml:space="preserve">RAN4 discuss the above scenarios </w:t>
      </w:r>
      <w:r w:rsidR="005D7B95">
        <w:rPr>
          <w:lang w:val="en-US"/>
        </w:rPr>
        <w:t>and possible LS to RAN1 to confine the pre-compensation within the assigned channel bandwidth when notified by network.</w:t>
      </w:r>
      <w:bookmarkEnd w:id="13"/>
    </w:p>
    <w:p w14:paraId="57022FC3" w14:textId="77777777" w:rsidR="00E2572C" w:rsidRPr="00F102E6" w:rsidRDefault="00E2572C" w:rsidP="00E2572C">
      <w:pPr>
        <w:pStyle w:val="Heading1"/>
      </w:pPr>
      <w:r w:rsidRPr="00F102E6">
        <w:t>Conclusions</w:t>
      </w:r>
    </w:p>
    <w:p w14:paraId="09EF2AA1" w14:textId="5D766F6E" w:rsidR="00034B6B" w:rsidRDefault="00422025" w:rsidP="009F5C86">
      <w:r w:rsidRPr="00F102E6">
        <w:t>In this contribution</w:t>
      </w:r>
      <w:r w:rsidR="00760997" w:rsidRPr="00F102E6">
        <w:t xml:space="preserve">, </w:t>
      </w:r>
      <w:r w:rsidR="00BF17AA" w:rsidRPr="00F102E6">
        <w:t xml:space="preserve">we </w:t>
      </w:r>
      <w:r w:rsidR="0015446F">
        <w:t xml:space="preserve">present our view </w:t>
      </w:r>
      <w:r w:rsidR="0015446F" w:rsidRPr="0015446F">
        <w:t xml:space="preserve">on how the network deploy the spectrum considering the maximum doppler frequency and relation to the regulatory requirement </w:t>
      </w:r>
      <w:r w:rsidR="0015446F">
        <w:t xml:space="preserve">with below </w:t>
      </w:r>
      <w:r w:rsidR="000E5643">
        <w:t>the</w:t>
      </w:r>
      <w:r w:rsidR="00ED3CAD">
        <w:t xml:space="preserve"> </w:t>
      </w:r>
      <w:r w:rsidR="0015446F">
        <w:t>o</w:t>
      </w:r>
      <w:r w:rsidR="0023099F">
        <w:t xml:space="preserve">bservations and </w:t>
      </w:r>
      <w:r w:rsidR="00760997" w:rsidRPr="00F102E6">
        <w:t>proposal:</w:t>
      </w:r>
    </w:p>
    <w:p w14:paraId="239DC354" w14:textId="30FBBF1B" w:rsidR="0015446F" w:rsidRDefault="003F5E41" w:rsidP="009F5C86">
      <w:r>
        <w:fldChar w:fldCharType="begin"/>
      </w:r>
      <w:r>
        <w:instrText xml:space="preserve"> REF _Ref118733466 \n \h </w:instrText>
      </w:r>
      <w:r>
        <w:fldChar w:fldCharType="separate"/>
      </w:r>
      <w:r>
        <w:t>Observation 1</w:t>
      </w:r>
      <w:r>
        <w:fldChar w:fldCharType="end"/>
      </w:r>
      <w:r>
        <w:t xml:space="preserve"> </w:t>
      </w:r>
      <w:r>
        <w:fldChar w:fldCharType="begin"/>
      </w:r>
      <w:r>
        <w:instrText xml:space="preserve"> REF _Ref118733466 \h </w:instrText>
      </w:r>
      <w:r>
        <w:fldChar w:fldCharType="separate"/>
      </w:r>
      <w:r>
        <w:rPr>
          <w:lang w:val="en-CA"/>
        </w:rPr>
        <w:t>In both FCC and ITU regulatory requirement, the maximum doppler frequency should be taking account in space stations. There is no such consideration in the earth stations. Meaning the UE shall not transmit outside its assigned channel.</w:t>
      </w:r>
      <w:r>
        <w:fldChar w:fldCharType="end"/>
      </w:r>
    </w:p>
    <w:p w14:paraId="76CF3196" w14:textId="5C2F1BE7" w:rsidR="003F5E41" w:rsidRDefault="003F5E41" w:rsidP="009F5C86">
      <w:r>
        <w:fldChar w:fldCharType="begin"/>
      </w:r>
      <w:r>
        <w:instrText xml:space="preserve"> REF _Ref118733477 \n \h </w:instrText>
      </w:r>
      <w:r>
        <w:fldChar w:fldCharType="separate"/>
      </w:r>
      <w:r>
        <w:t>Observation 2</w:t>
      </w:r>
      <w:r>
        <w:fldChar w:fldCharType="end"/>
      </w:r>
      <w:r>
        <w:t xml:space="preserve"> </w:t>
      </w:r>
      <w:r>
        <w:fldChar w:fldCharType="begin"/>
      </w:r>
      <w:r>
        <w:instrText xml:space="preserve"> REF _Ref118733477 \h </w:instrText>
      </w:r>
      <w:r>
        <w:fldChar w:fldCharType="separate"/>
      </w:r>
      <w:r>
        <w:rPr>
          <w:lang w:val="en-CA"/>
        </w:rPr>
        <w:t>In FCC 25.142, the emission requirement should be meet considering the worst-case frequency tolerance with the maximum positive and negative doppler shift.</w:t>
      </w:r>
      <w:r>
        <w:fldChar w:fldCharType="end"/>
      </w:r>
    </w:p>
    <w:p w14:paraId="164E4975" w14:textId="60E48950" w:rsidR="003F5E41" w:rsidRDefault="003F5E41" w:rsidP="009F5C86">
      <w:r>
        <w:fldChar w:fldCharType="begin"/>
      </w:r>
      <w:r>
        <w:instrText xml:space="preserve"> REF _Ref118733489 \n \h </w:instrText>
      </w:r>
      <w:r>
        <w:fldChar w:fldCharType="separate"/>
      </w:r>
      <w:r>
        <w:t>Observation 3</w:t>
      </w:r>
      <w:r>
        <w:fldChar w:fldCharType="end"/>
      </w:r>
      <w:r>
        <w:t xml:space="preserve"> </w:t>
      </w:r>
      <w:r>
        <w:fldChar w:fldCharType="begin"/>
      </w:r>
      <w:r>
        <w:instrText xml:space="preserve"> REF _Ref118733489 \h </w:instrText>
      </w:r>
      <w:r>
        <w:fldChar w:fldCharType="separate"/>
      </w:r>
      <w:r>
        <w:rPr>
          <w:lang w:val="en-CA"/>
        </w:rPr>
        <w:t>UE emission mask shall be started at the edge of the configured channel bandwidth according to regulatory.</w:t>
      </w:r>
      <w:r>
        <w:fldChar w:fldCharType="end"/>
      </w:r>
    </w:p>
    <w:p w14:paraId="3A74AD83" w14:textId="6B6A404F" w:rsidR="003F5E41" w:rsidRDefault="007A18AF" w:rsidP="009F5C86">
      <w:r>
        <w:fldChar w:fldCharType="begin"/>
      </w:r>
      <w:r>
        <w:instrText xml:space="preserve"> REF _Ref118733513 \n \h </w:instrText>
      </w:r>
      <w:r>
        <w:fldChar w:fldCharType="separate"/>
      </w:r>
      <w:r>
        <w:t>Observation 4</w:t>
      </w:r>
      <w:r>
        <w:fldChar w:fldCharType="end"/>
      </w:r>
      <w:r>
        <w:t xml:space="preserve"> </w:t>
      </w:r>
      <w:r>
        <w:fldChar w:fldCharType="begin"/>
      </w:r>
      <w:r>
        <w:instrText xml:space="preserve"> REF _Ref118733513 \h </w:instrText>
      </w:r>
      <w:r>
        <w:fldChar w:fldCharType="separate"/>
      </w:r>
      <w:r>
        <w:rPr>
          <w:lang w:val="en-CA"/>
        </w:rPr>
        <w:t>The pre-compensation shall be disabled to comply the regulatory requirement at the band edge or adjacent to another operator if the LO shift is used for pre-compensation</w:t>
      </w:r>
      <w:r>
        <w:fldChar w:fldCharType="end"/>
      </w:r>
    </w:p>
    <w:p w14:paraId="6632146D" w14:textId="3CEAE18C" w:rsidR="007A18AF" w:rsidRDefault="007A18AF" w:rsidP="009F5C86">
      <w:r>
        <w:fldChar w:fldCharType="begin"/>
      </w:r>
      <w:r>
        <w:instrText xml:space="preserve"> REF _Ref118733521 \n \h </w:instrText>
      </w:r>
      <w:r>
        <w:fldChar w:fldCharType="separate"/>
      </w:r>
      <w:r>
        <w:t>Observation 5</w:t>
      </w:r>
      <w:r>
        <w:fldChar w:fldCharType="end"/>
      </w:r>
      <w:r>
        <w:t xml:space="preserve"> </w:t>
      </w:r>
      <w:r>
        <w:fldChar w:fldCharType="begin"/>
      </w:r>
      <w:r>
        <w:instrText xml:space="preserve"> REF _Ref118733521 \h </w:instrText>
      </w:r>
      <w:r>
        <w:fldChar w:fldCharType="separate"/>
      </w:r>
      <w:r w:rsidRPr="00EC6B95">
        <w:rPr>
          <w:lang w:val="en-US"/>
        </w:rPr>
        <w:t>The UE can transmit outside the configured channel if the channel is within the operator frequency block and not adjacent to the other operator or at the band edge.</w:t>
      </w:r>
      <w:r>
        <w:fldChar w:fldCharType="end"/>
      </w:r>
    </w:p>
    <w:p w14:paraId="19DB856A" w14:textId="4638FC28" w:rsidR="007A18AF" w:rsidRDefault="007A18AF" w:rsidP="009F5C86">
      <w:r>
        <w:fldChar w:fldCharType="begin"/>
      </w:r>
      <w:r>
        <w:instrText xml:space="preserve"> REF _Ref118733533 \n \h </w:instrText>
      </w:r>
      <w:r>
        <w:fldChar w:fldCharType="separate"/>
      </w:r>
      <w:r>
        <w:t>Observation 6</w:t>
      </w:r>
      <w:r>
        <w:fldChar w:fldCharType="end"/>
      </w:r>
      <w:r>
        <w:t xml:space="preserve"> </w:t>
      </w:r>
      <w:r>
        <w:fldChar w:fldCharType="begin"/>
      </w:r>
      <w:r>
        <w:instrText xml:space="preserve"> REF _Ref118733533 \h </w:instrText>
      </w:r>
      <w:r>
        <w:fldChar w:fldCharType="separate"/>
      </w:r>
      <w:r w:rsidRPr="00FF550B">
        <w:rPr>
          <w:lang w:val="en-US"/>
        </w:rPr>
        <w:t>UE is not allowed to transmit outside the assigned channel when the channel is adjacent to another NTN operator or incumbent service or at the band edge.</w:t>
      </w:r>
      <w:r>
        <w:fldChar w:fldCharType="end"/>
      </w:r>
    </w:p>
    <w:p w14:paraId="132E6BDE" w14:textId="1F52FE37" w:rsidR="007A18AF" w:rsidRDefault="007A18AF" w:rsidP="009F5C86">
      <w:r>
        <w:fldChar w:fldCharType="begin"/>
      </w:r>
      <w:r>
        <w:instrText xml:space="preserve"> REF _Ref118733542 \n \h </w:instrText>
      </w:r>
      <w:r>
        <w:fldChar w:fldCharType="separate"/>
      </w:r>
      <w:r>
        <w:t>Proposal-1:</w:t>
      </w:r>
      <w:r>
        <w:fldChar w:fldCharType="end"/>
      </w:r>
      <w:r>
        <w:t xml:space="preserve"> </w:t>
      </w:r>
      <w:r>
        <w:fldChar w:fldCharType="begin"/>
      </w:r>
      <w:r>
        <w:instrText xml:space="preserve"> REF _Ref118733542 \h </w:instrText>
      </w:r>
      <w:r>
        <w:fldChar w:fldCharType="separate"/>
      </w:r>
      <w:r>
        <w:rPr>
          <w:lang w:val="en-US"/>
        </w:rPr>
        <w:t>RAN4 discuss the above scenarios and possible LS to RAN1 to confine the pre-compensation within the assigned channel bandwidth when notified by network.</w:t>
      </w:r>
      <w:r>
        <w:fldChar w:fldCharType="end"/>
      </w:r>
    </w:p>
    <w:p w14:paraId="2263E547" w14:textId="77777777" w:rsidR="009506E1" w:rsidRPr="00F102E6" w:rsidRDefault="009506E1" w:rsidP="009506E1">
      <w:pPr>
        <w:pStyle w:val="Heading1"/>
      </w:pPr>
      <w:r w:rsidRPr="00F102E6">
        <w:t>References</w:t>
      </w:r>
    </w:p>
    <w:p w14:paraId="4928AE99" w14:textId="48D9D5CC" w:rsidR="00851C7B" w:rsidRDefault="0015446F" w:rsidP="0015446F">
      <w:pPr>
        <w:numPr>
          <w:ilvl w:val="0"/>
          <w:numId w:val="9"/>
        </w:numPr>
      </w:pPr>
      <w:r w:rsidRPr="0015446F">
        <w:t>ITU SM.1541</w:t>
      </w:r>
    </w:p>
    <w:p w14:paraId="67EBD632" w14:textId="379A3102" w:rsidR="0015446F" w:rsidRPr="00F102E6" w:rsidRDefault="0015446F" w:rsidP="0015446F">
      <w:pPr>
        <w:numPr>
          <w:ilvl w:val="0"/>
          <w:numId w:val="9"/>
        </w:numPr>
      </w:pPr>
      <w:r>
        <w:t>FCC 25.x</w:t>
      </w:r>
    </w:p>
    <w:sectPr w:rsidR="0015446F"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AC50" w14:textId="77777777" w:rsidR="00EC3845" w:rsidRDefault="00EC3845">
      <w:r>
        <w:separator/>
      </w:r>
    </w:p>
  </w:endnote>
  <w:endnote w:type="continuationSeparator" w:id="0">
    <w:p w14:paraId="6DF88C6A" w14:textId="77777777" w:rsidR="00EC3845" w:rsidRDefault="00EC3845">
      <w:r>
        <w:continuationSeparator/>
      </w:r>
    </w:p>
  </w:endnote>
  <w:endnote w:type="continuationNotice" w:id="1">
    <w:p w14:paraId="0522326E" w14:textId="77777777" w:rsidR="00EC3845" w:rsidRDefault="00EC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A65A3" w14:textId="77777777" w:rsidR="00EC3845" w:rsidRDefault="00EC3845">
      <w:r>
        <w:separator/>
      </w:r>
    </w:p>
  </w:footnote>
  <w:footnote w:type="continuationSeparator" w:id="0">
    <w:p w14:paraId="06E03F12" w14:textId="77777777" w:rsidR="00EC3845" w:rsidRDefault="00EC3845">
      <w:r>
        <w:continuationSeparator/>
      </w:r>
    </w:p>
  </w:footnote>
  <w:footnote w:type="continuationNotice" w:id="1">
    <w:p w14:paraId="2DAE9804" w14:textId="77777777" w:rsidR="00EC3845" w:rsidRDefault="00EC3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5ED0BF1"/>
    <w:multiLevelType w:val="hybridMultilevel"/>
    <w:tmpl w:val="C0FC28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0740B"/>
    <w:multiLevelType w:val="multilevel"/>
    <w:tmpl w:val="1B50740B"/>
    <w:lvl w:ilvl="0">
      <w:start w:val="1"/>
      <w:numFmt w:val="bullet"/>
      <w:lvlText w:val="o"/>
      <w:lvlJc w:val="left"/>
      <w:pPr>
        <w:ind w:left="6215" w:hanging="360"/>
      </w:pPr>
      <w:rPr>
        <w:rFonts w:ascii="Courier New" w:hAnsi="Courier New" w:hint="default"/>
        <w:color w:val="auto"/>
      </w:rPr>
    </w:lvl>
    <w:lvl w:ilvl="1">
      <w:start w:val="1"/>
      <w:numFmt w:val="bullet"/>
      <w:lvlText w:val="o"/>
      <w:lvlJc w:val="left"/>
      <w:pPr>
        <w:ind w:left="6935" w:hanging="360"/>
      </w:pPr>
      <w:rPr>
        <w:rFonts w:ascii="Courier New" w:hAnsi="Courier New" w:cs="Courier New" w:hint="default"/>
      </w:rPr>
    </w:lvl>
    <w:lvl w:ilvl="2">
      <w:start w:val="1"/>
      <w:numFmt w:val="bullet"/>
      <w:lvlText w:val=""/>
      <w:lvlJc w:val="left"/>
      <w:pPr>
        <w:ind w:left="7655" w:hanging="360"/>
      </w:pPr>
      <w:rPr>
        <w:rFonts w:ascii="Wingdings" w:hAnsi="Wingdings" w:hint="default"/>
      </w:rPr>
    </w:lvl>
    <w:lvl w:ilvl="3">
      <w:start w:val="1"/>
      <w:numFmt w:val="bullet"/>
      <w:lvlText w:val=""/>
      <w:lvlJc w:val="left"/>
      <w:pPr>
        <w:ind w:left="8375" w:hanging="360"/>
      </w:pPr>
      <w:rPr>
        <w:rFonts w:ascii="Symbol" w:hAnsi="Symbol" w:hint="default"/>
      </w:rPr>
    </w:lvl>
    <w:lvl w:ilvl="4">
      <w:start w:val="1"/>
      <w:numFmt w:val="bullet"/>
      <w:lvlText w:val="o"/>
      <w:lvlJc w:val="left"/>
      <w:pPr>
        <w:ind w:left="9095" w:hanging="360"/>
      </w:pPr>
      <w:rPr>
        <w:rFonts w:ascii="Courier New" w:hAnsi="Courier New" w:cs="Courier New" w:hint="default"/>
      </w:rPr>
    </w:lvl>
    <w:lvl w:ilvl="5">
      <w:start w:val="1"/>
      <w:numFmt w:val="bullet"/>
      <w:lvlText w:val=""/>
      <w:lvlJc w:val="left"/>
      <w:pPr>
        <w:ind w:left="9815" w:hanging="360"/>
      </w:pPr>
      <w:rPr>
        <w:rFonts w:ascii="Wingdings" w:hAnsi="Wingdings" w:hint="default"/>
      </w:rPr>
    </w:lvl>
    <w:lvl w:ilvl="6">
      <w:start w:val="1"/>
      <w:numFmt w:val="bullet"/>
      <w:lvlText w:val=""/>
      <w:lvlJc w:val="left"/>
      <w:pPr>
        <w:ind w:left="10535" w:hanging="360"/>
      </w:pPr>
      <w:rPr>
        <w:rFonts w:ascii="Symbol" w:hAnsi="Symbol" w:hint="default"/>
      </w:rPr>
    </w:lvl>
    <w:lvl w:ilvl="7">
      <w:start w:val="1"/>
      <w:numFmt w:val="bullet"/>
      <w:lvlText w:val="o"/>
      <w:lvlJc w:val="left"/>
      <w:pPr>
        <w:ind w:left="11255" w:hanging="360"/>
      </w:pPr>
      <w:rPr>
        <w:rFonts w:ascii="Courier New" w:hAnsi="Courier New" w:cs="Courier New" w:hint="default"/>
      </w:rPr>
    </w:lvl>
    <w:lvl w:ilvl="8">
      <w:start w:val="1"/>
      <w:numFmt w:val="bullet"/>
      <w:lvlText w:val=""/>
      <w:lvlJc w:val="left"/>
      <w:pPr>
        <w:ind w:left="11975" w:hanging="360"/>
      </w:pPr>
      <w:rPr>
        <w:rFonts w:ascii="Wingdings" w:hAnsi="Wingdings" w:hint="default"/>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2D347B36"/>
    <w:lvl w:ilvl="0" w:tplc="258A8FB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0ED57C7"/>
    <w:multiLevelType w:val="hybridMultilevel"/>
    <w:tmpl w:val="3C4E081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20FE6C44"/>
    <w:multiLevelType w:val="hybridMultilevel"/>
    <w:tmpl w:val="1042F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30DCF"/>
    <w:multiLevelType w:val="hybridMultilevel"/>
    <w:tmpl w:val="3C4E0816"/>
    <w:lvl w:ilvl="0" w:tplc="EC5AC842">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DA4760"/>
    <w:multiLevelType w:val="hybridMultilevel"/>
    <w:tmpl w:val="084CB5F4"/>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2982512"/>
    <w:multiLevelType w:val="hybridMultilevel"/>
    <w:tmpl w:val="A5F415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34FF528D"/>
    <w:multiLevelType w:val="hybridMultilevel"/>
    <w:tmpl w:val="A80C52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A13C8C"/>
    <w:multiLevelType w:val="hybridMultilevel"/>
    <w:tmpl w:val="C44AF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C1F9D"/>
    <w:multiLevelType w:val="hybridMultilevel"/>
    <w:tmpl w:val="AA4A4B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007"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11E5D"/>
    <w:multiLevelType w:val="hybridMultilevel"/>
    <w:tmpl w:val="463860AA"/>
    <w:lvl w:ilvl="0" w:tplc="6E8A3F8C">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6"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38"/>
  </w:num>
  <w:num w:numId="4">
    <w:abstractNumId w:val="5"/>
  </w:num>
  <w:num w:numId="5">
    <w:abstractNumId w:val="29"/>
  </w:num>
  <w:num w:numId="6">
    <w:abstractNumId w:val="22"/>
  </w:num>
  <w:num w:numId="7">
    <w:abstractNumId w:val="18"/>
  </w:num>
  <w:num w:numId="8">
    <w:abstractNumId w:val="32"/>
  </w:num>
  <w:num w:numId="9">
    <w:abstractNumId w:val="7"/>
  </w:num>
  <w:num w:numId="10">
    <w:abstractNumId w:val="31"/>
  </w:num>
  <w:num w:numId="11">
    <w:abstractNumId w:val="8"/>
  </w:num>
  <w:num w:numId="12">
    <w:abstractNumId w:val="4"/>
  </w:num>
  <w:num w:numId="13">
    <w:abstractNumId w:val="14"/>
  </w:num>
  <w:num w:numId="14">
    <w:abstractNumId w:val="35"/>
  </w:num>
  <w:num w:numId="15">
    <w:abstractNumId w:val="25"/>
  </w:num>
  <w:num w:numId="16">
    <w:abstractNumId w:val="8"/>
    <w:lvlOverride w:ilvl="0">
      <w:startOverride w:val="1"/>
    </w:lvlOverride>
  </w:num>
  <w:num w:numId="17">
    <w:abstractNumId w:val="31"/>
    <w:lvlOverride w:ilvl="0">
      <w:startOverride w:val="1"/>
    </w:lvlOverride>
  </w:num>
  <w:num w:numId="18">
    <w:abstractNumId w:val="26"/>
  </w:num>
  <w:num w:numId="19">
    <w:abstractNumId w:val="2"/>
  </w:num>
  <w:num w:numId="20">
    <w:abstractNumId w:val="37"/>
  </w:num>
  <w:num w:numId="21">
    <w:abstractNumId w:val="0"/>
  </w:num>
  <w:num w:numId="22">
    <w:abstractNumId w:val="18"/>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2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8"/>
  </w:num>
  <w:num w:numId="30">
    <w:abstractNumId w:val="12"/>
  </w:num>
  <w:num w:numId="31">
    <w:abstractNumId w:val="27"/>
  </w:num>
  <w:num w:numId="32">
    <w:abstractNumId w:val="6"/>
  </w:num>
  <w:num w:numId="33">
    <w:abstractNumId w:val="15"/>
  </w:num>
  <w:num w:numId="34">
    <w:abstractNumId w:val="8"/>
  </w:num>
  <w:num w:numId="35">
    <w:abstractNumId w:val="33"/>
  </w:num>
  <w:num w:numId="36">
    <w:abstractNumId w:val="13"/>
  </w:num>
  <w:num w:numId="37">
    <w:abstractNumId w:val="24"/>
  </w:num>
  <w:num w:numId="38">
    <w:abstractNumId w:val="9"/>
  </w:num>
  <w:num w:numId="39">
    <w:abstractNumId w:val="18"/>
  </w:num>
  <w:num w:numId="40">
    <w:abstractNumId w:val="21"/>
  </w:num>
  <w:num w:numId="41">
    <w:abstractNumId w:val="30"/>
  </w:num>
  <w:num w:numId="42">
    <w:abstractNumId w:val="23"/>
  </w:num>
  <w:num w:numId="43">
    <w:abstractNumId w:val="3"/>
  </w:num>
  <w:num w:numId="44">
    <w:abstractNumId w:val="19"/>
  </w:num>
  <w:num w:numId="45">
    <w:abstractNumId w:val="10"/>
  </w:num>
  <w:num w:numId="46">
    <w:abstractNumId w:val="31"/>
  </w:num>
  <w:num w:numId="4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C84"/>
    <w:rsid w:val="00001306"/>
    <w:rsid w:val="00001674"/>
    <w:rsid w:val="00002559"/>
    <w:rsid w:val="00002CF4"/>
    <w:rsid w:val="00003045"/>
    <w:rsid w:val="0000323E"/>
    <w:rsid w:val="0000364D"/>
    <w:rsid w:val="00003A86"/>
    <w:rsid w:val="00004188"/>
    <w:rsid w:val="000045EA"/>
    <w:rsid w:val="00005334"/>
    <w:rsid w:val="00005A69"/>
    <w:rsid w:val="00005BF4"/>
    <w:rsid w:val="0000621F"/>
    <w:rsid w:val="00006423"/>
    <w:rsid w:val="000065C2"/>
    <w:rsid w:val="00006AEE"/>
    <w:rsid w:val="00006E8B"/>
    <w:rsid w:val="000071CB"/>
    <w:rsid w:val="00010DBA"/>
    <w:rsid w:val="00010FD2"/>
    <w:rsid w:val="00011776"/>
    <w:rsid w:val="00011AB2"/>
    <w:rsid w:val="00011B0A"/>
    <w:rsid w:val="000122C6"/>
    <w:rsid w:val="00012B35"/>
    <w:rsid w:val="000133F8"/>
    <w:rsid w:val="000134D3"/>
    <w:rsid w:val="0001438F"/>
    <w:rsid w:val="00014E00"/>
    <w:rsid w:val="00015CE9"/>
    <w:rsid w:val="00015DDF"/>
    <w:rsid w:val="00016888"/>
    <w:rsid w:val="0002031D"/>
    <w:rsid w:val="000206CC"/>
    <w:rsid w:val="00020F3C"/>
    <w:rsid w:val="00022668"/>
    <w:rsid w:val="00022DDD"/>
    <w:rsid w:val="000237F0"/>
    <w:rsid w:val="000246DE"/>
    <w:rsid w:val="0002494E"/>
    <w:rsid w:val="00025E94"/>
    <w:rsid w:val="000268A0"/>
    <w:rsid w:val="00026A5F"/>
    <w:rsid w:val="00026FBD"/>
    <w:rsid w:val="000277B3"/>
    <w:rsid w:val="00030408"/>
    <w:rsid w:val="000305FC"/>
    <w:rsid w:val="00030B99"/>
    <w:rsid w:val="000311B8"/>
    <w:rsid w:val="0003197D"/>
    <w:rsid w:val="00031A1E"/>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0E05"/>
    <w:rsid w:val="0004175B"/>
    <w:rsid w:val="00041FE9"/>
    <w:rsid w:val="0004218E"/>
    <w:rsid w:val="000424CE"/>
    <w:rsid w:val="000427B6"/>
    <w:rsid w:val="00042939"/>
    <w:rsid w:val="00042AEE"/>
    <w:rsid w:val="00042C19"/>
    <w:rsid w:val="000432F5"/>
    <w:rsid w:val="0004348E"/>
    <w:rsid w:val="000435ED"/>
    <w:rsid w:val="00043CAE"/>
    <w:rsid w:val="00043F94"/>
    <w:rsid w:val="00044675"/>
    <w:rsid w:val="00044890"/>
    <w:rsid w:val="00044954"/>
    <w:rsid w:val="00044A9C"/>
    <w:rsid w:val="00045247"/>
    <w:rsid w:val="0004535B"/>
    <w:rsid w:val="00045525"/>
    <w:rsid w:val="0004592F"/>
    <w:rsid w:val="00046485"/>
    <w:rsid w:val="0004787C"/>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4D89"/>
    <w:rsid w:val="0005543B"/>
    <w:rsid w:val="000561ED"/>
    <w:rsid w:val="00056D01"/>
    <w:rsid w:val="00057082"/>
    <w:rsid w:val="00057821"/>
    <w:rsid w:val="00057B21"/>
    <w:rsid w:val="0006072E"/>
    <w:rsid w:val="000609E9"/>
    <w:rsid w:val="00060F41"/>
    <w:rsid w:val="00061143"/>
    <w:rsid w:val="000623A9"/>
    <w:rsid w:val="000628AF"/>
    <w:rsid w:val="00062B1F"/>
    <w:rsid w:val="00062E77"/>
    <w:rsid w:val="0006371E"/>
    <w:rsid w:val="00064812"/>
    <w:rsid w:val="00064BD6"/>
    <w:rsid w:val="0006509F"/>
    <w:rsid w:val="00065277"/>
    <w:rsid w:val="0006577E"/>
    <w:rsid w:val="000670F1"/>
    <w:rsid w:val="000674B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77E7F"/>
    <w:rsid w:val="00077F50"/>
    <w:rsid w:val="00080131"/>
    <w:rsid w:val="00080381"/>
    <w:rsid w:val="000803B2"/>
    <w:rsid w:val="00080E61"/>
    <w:rsid w:val="00081975"/>
    <w:rsid w:val="000824E4"/>
    <w:rsid w:val="00083270"/>
    <w:rsid w:val="000838FC"/>
    <w:rsid w:val="000839F5"/>
    <w:rsid w:val="00083E78"/>
    <w:rsid w:val="000850C7"/>
    <w:rsid w:val="0008513F"/>
    <w:rsid w:val="000858DF"/>
    <w:rsid w:val="00085BCA"/>
    <w:rsid w:val="00086516"/>
    <w:rsid w:val="00087285"/>
    <w:rsid w:val="000872CB"/>
    <w:rsid w:val="000873FE"/>
    <w:rsid w:val="00087912"/>
    <w:rsid w:val="00087F42"/>
    <w:rsid w:val="00087F68"/>
    <w:rsid w:val="00090220"/>
    <w:rsid w:val="0009055A"/>
    <w:rsid w:val="00090C34"/>
    <w:rsid w:val="0009106C"/>
    <w:rsid w:val="0009135C"/>
    <w:rsid w:val="0009164C"/>
    <w:rsid w:val="0009201E"/>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D95"/>
    <w:rsid w:val="00097781"/>
    <w:rsid w:val="000A0403"/>
    <w:rsid w:val="000A05E4"/>
    <w:rsid w:val="000A05F5"/>
    <w:rsid w:val="000A0AB2"/>
    <w:rsid w:val="000A0C10"/>
    <w:rsid w:val="000A1380"/>
    <w:rsid w:val="000A17F1"/>
    <w:rsid w:val="000A1A21"/>
    <w:rsid w:val="000A1F21"/>
    <w:rsid w:val="000A208C"/>
    <w:rsid w:val="000A23C7"/>
    <w:rsid w:val="000A2C27"/>
    <w:rsid w:val="000A3194"/>
    <w:rsid w:val="000A3302"/>
    <w:rsid w:val="000A3DBB"/>
    <w:rsid w:val="000A4A42"/>
    <w:rsid w:val="000A56C1"/>
    <w:rsid w:val="000A5706"/>
    <w:rsid w:val="000A6056"/>
    <w:rsid w:val="000A6B4C"/>
    <w:rsid w:val="000A6DB8"/>
    <w:rsid w:val="000A70F9"/>
    <w:rsid w:val="000A739D"/>
    <w:rsid w:val="000A79CB"/>
    <w:rsid w:val="000B0206"/>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86"/>
    <w:rsid w:val="000B4D9C"/>
    <w:rsid w:val="000B4F36"/>
    <w:rsid w:val="000B6D8E"/>
    <w:rsid w:val="000B6EBE"/>
    <w:rsid w:val="000B74F1"/>
    <w:rsid w:val="000C02FF"/>
    <w:rsid w:val="000C09B5"/>
    <w:rsid w:val="000C1645"/>
    <w:rsid w:val="000C2049"/>
    <w:rsid w:val="000C20BB"/>
    <w:rsid w:val="000C2D5A"/>
    <w:rsid w:val="000C331A"/>
    <w:rsid w:val="000C34AC"/>
    <w:rsid w:val="000C473C"/>
    <w:rsid w:val="000C4C1B"/>
    <w:rsid w:val="000C4E23"/>
    <w:rsid w:val="000C520A"/>
    <w:rsid w:val="000C6A94"/>
    <w:rsid w:val="000C6D65"/>
    <w:rsid w:val="000C7541"/>
    <w:rsid w:val="000C7D0F"/>
    <w:rsid w:val="000D09B5"/>
    <w:rsid w:val="000D10D2"/>
    <w:rsid w:val="000D16E5"/>
    <w:rsid w:val="000D17C5"/>
    <w:rsid w:val="000D2347"/>
    <w:rsid w:val="000D2621"/>
    <w:rsid w:val="000D2729"/>
    <w:rsid w:val="000D2A59"/>
    <w:rsid w:val="000D2BEE"/>
    <w:rsid w:val="000D2CEA"/>
    <w:rsid w:val="000D3C13"/>
    <w:rsid w:val="000D3CAF"/>
    <w:rsid w:val="000D474E"/>
    <w:rsid w:val="000D481D"/>
    <w:rsid w:val="000D55C7"/>
    <w:rsid w:val="000D5E8D"/>
    <w:rsid w:val="000D62B4"/>
    <w:rsid w:val="000D6CD8"/>
    <w:rsid w:val="000D7070"/>
    <w:rsid w:val="000E064C"/>
    <w:rsid w:val="000E172C"/>
    <w:rsid w:val="000E26F7"/>
    <w:rsid w:val="000E27FB"/>
    <w:rsid w:val="000E296B"/>
    <w:rsid w:val="000E3352"/>
    <w:rsid w:val="000E3748"/>
    <w:rsid w:val="000E3861"/>
    <w:rsid w:val="000E3B78"/>
    <w:rsid w:val="000E43DD"/>
    <w:rsid w:val="000E47A6"/>
    <w:rsid w:val="000E5643"/>
    <w:rsid w:val="000E59B3"/>
    <w:rsid w:val="000E5D87"/>
    <w:rsid w:val="000E6F9D"/>
    <w:rsid w:val="000E71E1"/>
    <w:rsid w:val="000E74BB"/>
    <w:rsid w:val="000E7599"/>
    <w:rsid w:val="000F0493"/>
    <w:rsid w:val="000F060A"/>
    <w:rsid w:val="000F074F"/>
    <w:rsid w:val="000F09D3"/>
    <w:rsid w:val="000F1721"/>
    <w:rsid w:val="000F1D01"/>
    <w:rsid w:val="000F237E"/>
    <w:rsid w:val="000F28B4"/>
    <w:rsid w:val="000F3042"/>
    <w:rsid w:val="000F3AA2"/>
    <w:rsid w:val="000F3F8B"/>
    <w:rsid w:val="000F41F1"/>
    <w:rsid w:val="000F4413"/>
    <w:rsid w:val="000F5304"/>
    <w:rsid w:val="000F5722"/>
    <w:rsid w:val="000F6E0F"/>
    <w:rsid w:val="000F7897"/>
    <w:rsid w:val="000F7B26"/>
    <w:rsid w:val="000F7F74"/>
    <w:rsid w:val="00101169"/>
    <w:rsid w:val="001016F8"/>
    <w:rsid w:val="001018B3"/>
    <w:rsid w:val="00102389"/>
    <w:rsid w:val="0010279D"/>
    <w:rsid w:val="00102F19"/>
    <w:rsid w:val="0010314C"/>
    <w:rsid w:val="00103C2E"/>
    <w:rsid w:val="00103CC1"/>
    <w:rsid w:val="001047A8"/>
    <w:rsid w:val="0010526A"/>
    <w:rsid w:val="00105316"/>
    <w:rsid w:val="00105A9D"/>
    <w:rsid w:val="00106653"/>
    <w:rsid w:val="0010697A"/>
    <w:rsid w:val="00107A4A"/>
    <w:rsid w:val="00107DD5"/>
    <w:rsid w:val="00110E0D"/>
    <w:rsid w:val="001110A2"/>
    <w:rsid w:val="0011179D"/>
    <w:rsid w:val="001125ED"/>
    <w:rsid w:val="00113182"/>
    <w:rsid w:val="001143F5"/>
    <w:rsid w:val="00114C3A"/>
    <w:rsid w:val="00114E5D"/>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4D4"/>
    <w:rsid w:val="00124AB3"/>
    <w:rsid w:val="00124CCC"/>
    <w:rsid w:val="00124EE2"/>
    <w:rsid w:val="001256D5"/>
    <w:rsid w:val="001260A0"/>
    <w:rsid w:val="00126163"/>
    <w:rsid w:val="00126D50"/>
    <w:rsid w:val="001273C9"/>
    <w:rsid w:val="00127507"/>
    <w:rsid w:val="001300BD"/>
    <w:rsid w:val="00130614"/>
    <w:rsid w:val="0013125F"/>
    <w:rsid w:val="00131304"/>
    <w:rsid w:val="0013302D"/>
    <w:rsid w:val="001337D9"/>
    <w:rsid w:val="00133B5A"/>
    <w:rsid w:val="00133C04"/>
    <w:rsid w:val="001342E9"/>
    <w:rsid w:val="001344B4"/>
    <w:rsid w:val="0013496D"/>
    <w:rsid w:val="00134BED"/>
    <w:rsid w:val="00134CFA"/>
    <w:rsid w:val="00134DD3"/>
    <w:rsid w:val="00134EA7"/>
    <w:rsid w:val="00135484"/>
    <w:rsid w:val="0013548B"/>
    <w:rsid w:val="001357BA"/>
    <w:rsid w:val="00135A85"/>
    <w:rsid w:val="00135E52"/>
    <w:rsid w:val="00137012"/>
    <w:rsid w:val="001370BE"/>
    <w:rsid w:val="00137430"/>
    <w:rsid w:val="00140B24"/>
    <w:rsid w:val="0014104D"/>
    <w:rsid w:val="001411CC"/>
    <w:rsid w:val="0014176E"/>
    <w:rsid w:val="00141F56"/>
    <w:rsid w:val="001420D9"/>
    <w:rsid w:val="00142261"/>
    <w:rsid w:val="0014236D"/>
    <w:rsid w:val="00142A2B"/>
    <w:rsid w:val="00142DE2"/>
    <w:rsid w:val="001436CB"/>
    <w:rsid w:val="001448E2"/>
    <w:rsid w:val="00145141"/>
    <w:rsid w:val="00145CE4"/>
    <w:rsid w:val="00145D6B"/>
    <w:rsid w:val="001465D7"/>
    <w:rsid w:val="00146759"/>
    <w:rsid w:val="00147285"/>
    <w:rsid w:val="001473F8"/>
    <w:rsid w:val="001474E7"/>
    <w:rsid w:val="0014752E"/>
    <w:rsid w:val="00147B4B"/>
    <w:rsid w:val="00147C51"/>
    <w:rsid w:val="00147CC2"/>
    <w:rsid w:val="00150CE5"/>
    <w:rsid w:val="00151659"/>
    <w:rsid w:val="00151992"/>
    <w:rsid w:val="00151A8B"/>
    <w:rsid w:val="00152535"/>
    <w:rsid w:val="00153276"/>
    <w:rsid w:val="00153DDD"/>
    <w:rsid w:val="0015446F"/>
    <w:rsid w:val="0015454F"/>
    <w:rsid w:val="00155146"/>
    <w:rsid w:val="001553CE"/>
    <w:rsid w:val="00155CF8"/>
    <w:rsid w:val="00155D0E"/>
    <w:rsid w:val="00155F8F"/>
    <w:rsid w:val="00157833"/>
    <w:rsid w:val="00157ED4"/>
    <w:rsid w:val="00160443"/>
    <w:rsid w:val="0016088A"/>
    <w:rsid w:val="00160989"/>
    <w:rsid w:val="001611F3"/>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86C"/>
    <w:rsid w:val="00171A06"/>
    <w:rsid w:val="00171DE0"/>
    <w:rsid w:val="00171EEF"/>
    <w:rsid w:val="0017202E"/>
    <w:rsid w:val="00173174"/>
    <w:rsid w:val="001731DA"/>
    <w:rsid w:val="00173813"/>
    <w:rsid w:val="00173C08"/>
    <w:rsid w:val="00173C72"/>
    <w:rsid w:val="00173E5D"/>
    <w:rsid w:val="00173F8D"/>
    <w:rsid w:val="00174056"/>
    <w:rsid w:val="00174101"/>
    <w:rsid w:val="001744C6"/>
    <w:rsid w:val="00174E28"/>
    <w:rsid w:val="00174E49"/>
    <w:rsid w:val="00176507"/>
    <w:rsid w:val="001766AD"/>
    <w:rsid w:val="0017719A"/>
    <w:rsid w:val="00177328"/>
    <w:rsid w:val="00177502"/>
    <w:rsid w:val="0017753E"/>
    <w:rsid w:val="00177B1E"/>
    <w:rsid w:val="00181228"/>
    <w:rsid w:val="00181B1D"/>
    <w:rsid w:val="0018217A"/>
    <w:rsid w:val="001824A1"/>
    <w:rsid w:val="00182F8D"/>
    <w:rsid w:val="0018380A"/>
    <w:rsid w:val="00184AAB"/>
    <w:rsid w:val="00184FFF"/>
    <w:rsid w:val="00185252"/>
    <w:rsid w:val="00185484"/>
    <w:rsid w:val="00185832"/>
    <w:rsid w:val="001875F8"/>
    <w:rsid w:val="00187863"/>
    <w:rsid w:val="001909A3"/>
    <w:rsid w:val="001920CB"/>
    <w:rsid w:val="00192D3E"/>
    <w:rsid w:val="00193523"/>
    <w:rsid w:val="00193F07"/>
    <w:rsid w:val="00194132"/>
    <w:rsid w:val="0019469A"/>
    <w:rsid w:val="0019509D"/>
    <w:rsid w:val="001950BB"/>
    <w:rsid w:val="001950C5"/>
    <w:rsid w:val="00196139"/>
    <w:rsid w:val="001968D2"/>
    <w:rsid w:val="0019726C"/>
    <w:rsid w:val="00197C52"/>
    <w:rsid w:val="00197CD8"/>
    <w:rsid w:val="00197DBB"/>
    <w:rsid w:val="00197FFB"/>
    <w:rsid w:val="001A0273"/>
    <w:rsid w:val="001A0683"/>
    <w:rsid w:val="001A11FC"/>
    <w:rsid w:val="001A122F"/>
    <w:rsid w:val="001A12C3"/>
    <w:rsid w:val="001A3AD2"/>
    <w:rsid w:val="001A3B4D"/>
    <w:rsid w:val="001A41FB"/>
    <w:rsid w:val="001A4BBB"/>
    <w:rsid w:val="001A5037"/>
    <w:rsid w:val="001A6F07"/>
    <w:rsid w:val="001A7317"/>
    <w:rsid w:val="001A7609"/>
    <w:rsid w:val="001A7E02"/>
    <w:rsid w:val="001A7EBA"/>
    <w:rsid w:val="001B0375"/>
    <w:rsid w:val="001B0385"/>
    <w:rsid w:val="001B04D1"/>
    <w:rsid w:val="001B0EBC"/>
    <w:rsid w:val="001B11C7"/>
    <w:rsid w:val="001B17DD"/>
    <w:rsid w:val="001B2488"/>
    <w:rsid w:val="001B2B86"/>
    <w:rsid w:val="001B2FCD"/>
    <w:rsid w:val="001B30C5"/>
    <w:rsid w:val="001B405B"/>
    <w:rsid w:val="001B48BC"/>
    <w:rsid w:val="001B5635"/>
    <w:rsid w:val="001B5B9A"/>
    <w:rsid w:val="001B604B"/>
    <w:rsid w:val="001B63CE"/>
    <w:rsid w:val="001B724D"/>
    <w:rsid w:val="001B7327"/>
    <w:rsid w:val="001B7461"/>
    <w:rsid w:val="001B7B9A"/>
    <w:rsid w:val="001B7E63"/>
    <w:rsid w:val="001C05B5"/>
    <w:rsid w:val="001C112A"/>
    <w:rsid w:val="001C1AE2"/>
    <w:rsid w:val="001C1AF2"/>
    <w:rsid w:val="001C2D98"/>
    <w:rsid w:val="001C3256"/>
    <w:rsid w:val="001C38D9"/>
    <w:rsid w:val="001C53D8"/>
    <w:rsid w:val="001C55A0"/>
    <w:rsid w:val="001C56E0"/>
    <w:rsid w:val="001C5BC2"/>
    <w:rsid w:val="001C62E2"/>
    <w:rsid w:val="001C6351"/>
    <w:rsid w:val="001C6D31"/>
    <w:rsid w:val="001C7421"/>
    <w:rsid w:val="001C7426"/>
    <w:rsid w:val="001C782F"/>
    <w:rsid w:val="001C7C95"/>
    <w:rsid w:val="001D04D8"/>
    <w:rsid w:val="001D0694"/>
    <w:rsid w:val="001D1501"/>
    <w:rsid w:val="001D2381"/>
    <w:rsid w:val="001D2CD8"/>
    <w:rsid w:val="001D43A5"/>
    <w:rsid w:val="001D5A29"/>
    <w:rsid w:val="001D5BB0"/>
    <w:rsid w:val="001D5F18"/>
    <w:rsid w:val="001D62DE"/>
    <w:rsid w:val="001D6479"/>
    <w:rsid w:val="001D6CA3"/>
    <w:rsid w:val="001D759D"/>
    <w:rsid w:val="001E0076"/>
    <w:rsid w:val="001E06A2"/>
    <w:rsid w:val="001E0C50"/>
    <w:rsid w:val="001E11A2"/>
    <w:rsid w:val="001E1548"/>
    <w:rsid w:val="001E1C78"/>
    <w:rsid w:val="001E29AB"/>
    <w:rsid w:val="001E2A9F"/>
    <w:rsid w:val="001E3AD4"/>
    <w:rsid w:val="001E3CA6"/>
    <w:rsid w:val="001E3CA8"/>
    <w:rsid w:val="001E639C"/>
    <w:rsid w:val="001E64C0"/>
    <w:rsid w:val="001E65F4"/>
    <w:rsid w:val="001E75E0"/>
    <w:rsid w:val="001E7A9E"/>
    <w:rsid w:val="001E7D7D"/>
    <w:rsid w:val="001F02F2"/>
    <w:rsid w:val="001F098F"/>
    <w:rsid w:val="001F1AC7"/>
    <w:rsid w:val="001F1EDB"/>
    <w:rsid w:val="001F1EEE"/>
    <w:rsid w:val="001F252E"/>
    <w:rsid w:val="001F2AF9"/>
    <w:rsid w:val="001F2C28"/>
    <w:rsid w:val="001F3076"/>
    <w:rsid w:val="001F3330"/>
    <w:rsid w:val="001F38A5"/>
    <w:rsid w:val="001F3FE5"/>
    <w:rsid w:val="001F41A8"/>
    <w:rsid w:val="001F41FD"/>
    <w:rsid w:val="001F526B"/>
    <w:rsid w:val="001F57DB"/>
    <w:rsid w:val="001F581F"/>
    <w:rsid w:val="001F605E"/>
    <w:rsid w:val="001F6272"/>
    <w:rsid w:val="001F6B6B"/>
    <w:rsid w:val="001F6E96"/>
    <w:rsid w:val="0020040C"/>
    <w:rsid w:val="0020094C"/>
    <w:rsid w:val="00201230"/>
    <w:rsid w:val="00201FB1"/>
    <w:rsid w:val="002034FA"/>
    <w:rsid w:val="00203AC4"/>
    <w:rsid w:val="00204E3C"/>
    <w:rsid w:val="002059AE"/>
    <w:rsid w:val="00205E7C"/>
    <w:rsid w:val="00205FAC"/>
    <w:rsid w:val="002069FC"/>
    <w:rsid w:val="00207084"/>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4A00"/>
    <w:rsid w:val="00224D26"/>
    <w:rsid w:val="002255AF"/>
    <w:rsid w:val="00225C16"/>
    <w:rsid w:val="0022662E"/>
    <w:rsid w:val="00226926"/>
    <w:rsid w:val="002271FB"/>
    <w:rsid w:val="00227714"/>
    <w:rsid w:val="00227897"/>
    <w:rsid w:val="00227A9D"/>
    <w:rsid w:val="0023099F"/>
    <w:rsid w:val="00230B56"/>
    <w:rsid w:val="00231147"/>
    <w:rsid w:val="002312E3"/>
    <w:rsid w:val="00231383"/>
    <w:rsid w:val="00231D9E"/>
    <w:rsid w:val="00232DB5"/>
    <w:rsid w:val="00233043"/>
    <w:rsid w:val="002333D4"/>
    <w:rsid w:val="002338CD"/>
    <w:rsid w:val="00234A22"/>
    <w:rsid w:val="00234AFD"/>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535"/>
    <w:rsid w:val="002458ED"/>
    <w:rsid w:val="00245A1B"/>
    <w:rsid w:val="00245BAF"/>
    <w:rsid w:val="00246106"/>
    <w:rsid w:val="00246998"/>
    <w:rsid w:val="00246E68"/>
    <w:rsid w:val="00247604"/>
    <w:rsid w:val="002500F5"/>
    <w:rsid w:val="00250861"/>
    <w:rsid w:val="002508DD"/>
    <w:rsid w:val="00250A23"/>
    <w:rsid w:val="00251ACC"/>
    <w:rsid w:val="00252A6B"/>
    <w:rsid w:val="002544F4"/>
    <w:rsid w:val="00254900"/>
    <w:rsid w:val="00254A55"/>
    <w:rsid w:val="00255698"/>
    <w:rsid w:val="00255CF7"/>
    <w:rsid w:val="00257B66"/>
    <w:rsid w:val="0026007C"/>
    <w:rsid w:val="002600BE"/>
    <w:rsid w:val="00260CB1"/>
    <w:rsid w:val="00261BFE"/>
    <w:rsid w:val="002625FD"/>
    <w:rsid w:val="00262779"/>
    <w:rsid w:val="0026291C"/>
    <w:rsid w:val="00263356"/>
    <w:rsid w:val="00263AB9"/>
    <w:rsid w:val="00263EAB"/>
    <w:rsid w:val="00263FD7"/>
    <w:rsid w:val="00264549"/>
    <w:rsid w:val="00264E6D"/>
    <w:rsid w:val="0026544D"/>
    <w:rsid w:val="0026590D"/>
    <w:rsid w:val="0026597F"/>
    <w:rsid w:val="002659B6"/>
    <w:rsid w:val="00265CA3"/>
    <w:rsid w:val="00265DA5"/>
    <w:rsid w:val="00265E1F"/>
    <w:rsid w:val="00265EB9"/>
    <w:rsid w:val="0026671E"/>
    <w:rsid w:val="002668FD"/>
    <w:rsid w:val="00266AD1"/>
    <w:rsid w:val="00266C32"/>
    <w:rsid w:val="00266F31"/>
    <w:rsid w:val="0026728B"/>
    <w:rsid w:val="002676DA"/>
    <w:rsid w:val="002676DC"/>
    <w:rsid w:val="00267E46"/>
    <w:rsid w:val="002702F0"/>
    <w:rsid w:val="002705CC"/>
    <w:rsid w:val="00270D8C"/>
    <w:rsid w:val="00271104"/>
    <w:rsid w:val="00272797"/>
    <w:rsid w:val="00272956"/>
    <w:rsid w:val="00272990"/>
    <w:rsid w:val="00273201"/>
    <w:rsid w:val="00273748"/>
    <w:rsid w:val="00273B43"/>
    <w:rsid w:val="00274703"/>
    <w:rsid w:val="00274D0C"/>
    <w:rsid w:val="002754BA"/>
    <w:rsid w:val="002757BC"/>
    <w:rsid w:val="002762A4"/>
    <w:rsid w:val="002764C6"/>
    <w:rsid w:val="002767B1"/>
    <w:rsid w:val="00276904"/>
    <w:rsid w:val="002773A6"/>
    <w:rsid w:val="0027769D"/>
    <w:rsid w:val="00277B2B"/>
    <w:rsid w:val="0028065A"/>
    <w:rsid w:val="002808E0"/>
    <w:rsid w:val="00280D3A"/>
    <w:rsid w:val="0028129F"/>
    <w:rsid w:val="002812A1"/>
    <w:rsid w:val="0028130B"/>
    <w:rsid w:val="002816FD"/>
    <w:rsid w:val="00281C85"/>
    <w:rsid w:val="00281DE1"/>
    <w:rsid w:val="00282274"/>
    <w:rsid w:val="00282382"/>
    <w:rsid w:val="00283597"/>
    <w:rsid w:val="00284833"/>
    <w:rsid w:val="00284A6E"/>
    <w:rsid w:val="00286509"/>
    <w:rsid w:val="0028699B"/>
    <w:rsid w:val="002869DF"/>
    <w:rsid w:val="002878E2"/>
    <w:rsid w:val="00287A1B"/>
    <w:rsid w:val="00287BCB"/>
    <w:rsid w:val="00290160"/>
    <w:rsid w:val="0029054D"/>
    <w:rsid w:val="0029074D"/>
    <w:rsid w:val="002916BD"/>
    <w:rsid w:val="002919CB"/>
    <w:rsid w:val="002923CC"/>
    <w:rsid w:val="00292625"/>
    <w:rsid w:val="002928AF"/>
    <w:rsid w:val="00293D94"/>
    <w:rsid w:val="002940AF"/>
    <w:rsid w:val="002948D0"/>
    <w:rsid w:val="00295B3D"/>
    <w:rsid w:val="00295C32"/>
    <w:rsid w:val="0029677F"/>
    <w:rsid w:val="00296D43"/>
    <w:rsid w:val="00296DCC"/>
    <w:rsid w:val="0029717C"/>
    <w:rsid w:val="00297B03"/>
    <w:rsid w:val="00297BF4"/>
    <w:rsid w:val="002A03FE"/>
    <w:rsid w:val="002A0921"/>
    <w:rsid w:val="002A0D0F"/>
    <w:rsid w:val="002A118B"/>
    <w:rsid w:val="002A20AC"/>
    <w:rsid w:val="002A23B5"/>
    <w:rsid w:val="002A272D"/>
    <w:rsid w:val="002A2F0D"/>
    <w:rsid w:val="002A4267"/>
    <w:rsid w:val="002A50E4"/>
    <w:rsid w:val="002A6385"/>
    <w:rsid w:val="002A6835"/>
    <w:rsid w:val="002A6DA5"/>
    <w:rsid w:val="002A708F"/>
    <w:rsid w:val="002A7A2C"/>
    <w:rsid w:val="002A7CEA"/>
    <w:rsid w:val="002B085F"/>
    <w:rsid w:val="002B1900"/>
    <w:rsid w:val="002B1AB4"/>
    <w:rsid w:val="002B2B65"/>
    <w:rsid w:val="002B2CF8"/>
    <w:rsid w:val="002B2EDF"/>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1B72"/>
    <w:rsid w:val="002C2099"/>
    <w:rsid w:val="002C233C"/>
    <w:rsid w:val="002C3D95"/>
    <w:rsid w:val="002C4020"/>
    <w:rsid w:val="002C427B"/>
    <w:rsid w:val="002C42BB"/>
    <w:rsid w:val="002C43CE"/>
    <w:rsid w:val="002C4540"/>
    <w:rsid w:val="002C4650"/>
    <w:rsid w:val="002C4703"/>
    <w:rsid w:val="002C4A79"/>
    <w:rsid w:val="002C4EED"/>
    <w:rsid w:val="002C619E"/>
    <w:rsid w:val="002C70CD"/>
    <w:rsid w:val="002C7264"/>
    <w:rsid w:val="002C764C"/>
    <w:rsid w:val="002C781B"/>
    <w:rsid w:val="002C7949"/>
    <w:rsid w:val="002C7C76"/>
    <w:rsid w:val="002D05A0"/>
    <w:rsid w:val="002D08DD"/>
    <w:rsid w:val="002D1CF6"/>
    <w:rsid w:val="002D1E69"/>
    <w:rsid w:val="002D241E"/>
    <w:rsid w:val="002D2AAE"/>
    <w:rsid w:val="002D38B4"/>
    <w:rsid w:val="002D40BB"/>
    <w:rsid w:val="002D4461"/>
    <w:rsid w:val="002D4A49"/>
    <w:rsid w:val="002D4B32"/>
    <w:rsid w:val="002D4BA1"/>
    <w:rsid w:val="002D5CA1"/>
    <w:rsid w:val="002D5E40"/>
    <w:rsid w:val="002D65BB"/>
    <w:rsid w:val="002D6786"/>
    <w:rsid w:val="002D738C"/>
    <w:rsid w:val="002D7C2F"/>
    <w:rsid w:val="002E0345"/>
    <w:rsid w:val="002E0404"/>
    <w:rsid w:val="002E05B5"/>
    <w:rsid w:val="002E1808"/>
    <w:rsid w:val="002E20DE"/>
    <w:rsid w:val="002E28ED"/>
    <w:rsid w:val="002E29DF"/>
    <w:rsid w:val="002E2A25"/>
    <w:rsid w:val="002E3512"/>
    <w:rsid w:val="002E35FD"/>
    <w:rsid w:val="002E3E1A"/>
    <w:rsid w:val="002E3EA4"/>
    <w:rsid w:val="002E413B"/>
    <w:rsid w:val="002E426A"/>
    <w:rsid w:val="002E482F"/>
    <w:rsid w:val="002E48DD"/>
    <w:rsid w:val="002E4CD0"/>
    <w:rsid w:val="002E6444"/>
    <w:rsid w:val="002E69B8"/>
    <w:rsid w:val="002E7E0D"/>
    <w:rsid w:val="002F03DD"/>
    <w:rsid w:val="002F0D69"/>
    <w:rsid w:val="002F11AB"/>
    <w:rsid w:val="002F1F04"/>
    <w:rsid w:val="002F1FA7"/>
    <w:rsid w:val="002F22D8"/>
    <w:rsid w:val="002F2CD7"/>
    <w:rsid w:val="002F3425"/>
    <w:rsid w:val="002F34C1"/>
    <w:rsid w:val="002F34ED"/>
    <w:rsid w:val="002F3BCD"/>
    <w:rsid w:val="002F3D7A"/>
    <w:rsid w:val="002F410A"/>
    <w:rsid w:val="002F4CC7"/>
    <w:rsid w:val="002F56ED"/>
    <w:rsid w:val="002F695D"/>
    <w:rsid w:val="002F7771"/>
    <w:rsid w:val="002F7D7A"/>
    <w:rsid w:val="00300201"/>
    <w:rsid w:val="003005CE"/>
    <w:rsid w:val="00300927"/>
    <w:rsid w:val="00301142"/>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4F9"/>
    <w:rsid w:val="00307562"/>
    <w:rsid w:val="003078D3"/>
    <w:rsid w:val="003109B0"/>
    <w:rsid w:val="00310C0C"/>
    <w:rsid w:val="00310D28"/>
    <w:rsid w:val="003111B3"/>
    <w:rsid w:val="003111F8"/>
    <w:rsid w:val="003115A2"/>
    <w:rsid w:val="00311D2C"/>
    <w:rsid w:val="003142B4"/>
    <w:rsid w:val="00314711"/>
    <w:rsid w:val="00314A25"/>
    <w:rsid w:val="00314DEE"/>
    <w:rsid w:val="00314E8E"/>
    <w:rsid w:val="00314EDE"/>
    <w:rsid w:val="003150BA"/>
    <w:rsid w:val="0031575C"/>
    <w:rsid w:val="00315C5D"/>
    <w:rsid w:val="00315E65"/>
    <w:rsid w:val="003175E6"/>
    <w:rsid w:val="00320078"/>
    <w:rsid w:val="00320346"/>
    <w:rsid w:val="0032094D"/>
    <w:rsid w:val="00320BC0"/>
    <w:rsid w:val="00322088"/>
    <w:rsid w:val="003222EC"/>
    <w:rsid w:val="00323141"/>
    <w:rsid w:val="00323B29"/>
    <w:rsid w:val="00324C8F"/>
    <w:rsid w:val="00324D35"/>
    <w:rsid w:val="0032547B"/>
    <w:rsid w:val="003269A0"/>
    <w:rsid w:val="003269BE"/>
    <w:rsid w:val="00326A41"/>
    <w:rsid w:val="00326A5F"/>
    <w:rsid w:val="00326D8A"/>
    <w:rsid w:val="003271A7"/>
    <w:rsid w:val="003271BA"/>
    <w:rsid w:val="003273F2"/>
    <w:rsid w:val="00327537"/>
    <w:rsid w:val="00331E8D"/>
    <w:rsid w:val="00331EBE"/>
    <w:rsid w:val="003322AE"/>
    <w:rsid w:val="00332BB9"/>
    <w:rsid w:val="00334A56"/>
    <w:rsid w:val="00334AB6"/>
    <w:rsid w:val="003352D6"/>
    <w:rsid w:val="003362F0"/>
    <w:rsid w:val="00336A4A"/>
    <w:rsid w:val="00336FB0"/>
    <w:rsid w:val="0033705B"/>
    <w:rsid w:val="00337501"/>
    <w:rsid w:val="00337B90"/>
    <w:rsid w:val="00337C7F"/>
    <w:rsid w:val="0034017D"/>
    <w:rsid w:val="003413F6"/>
    <w:rsid w:val="00341B03"/>
    <w:rsid w:val="00341BBA"/>
    <w:rsid w:val="00341DEA"/>
    <w:rsid w:val="00343B3B"/>
    <w:rsid w:val="00344798"/>
    <w:rsid w:val="00344B08"/>
    <w:rsid w:val="00345353"/>
    <w:rsid w:val="00345BFE"/>
    <w:rsid w:val="00346DC4"/>
    <w:rsid w:val="00346DE7"/>
    <w:rsid w:val="00347399"/>
    <w:rsid w:val="0034744F"/>
    <w:rsid w:val="003507DA"/>
    <w:rsid w:val="0035164B"/>
    <w:rsid w:val="00351C13"/>
    <w:rsid w:val="00351C5F"/>
    <w:rsid w:val="003524C4"/>
    <w:rsid w:val="0035275D"/>
    <w:rsid w:val="00352944"/>
    <w:rsid w:val="003532FB"/>
    <w:rsid w:val="003534A6"/>
    <w:rsid w:val="003537C6"/>
    <w:rsid w:val="00353B3D"/>
    <w:rsid w:val="00354469"/>
    <w:rsid w:val="00354B0D"/>
    <w:rsid w:val="003554C5"/>
    <w:rsid w:val="00355BCE"/>
    <w:rsid w:val="00356647"/>
    <w:rsid w:val="003566F7"/>
    <w:rsid w:val="00356C0A"/>
    <w:rsid w:val="003572D1"/>
    <w:rsid w:val="00357305"/>
    <w:rsid w:val="003579F2"/>
    <w:rsid w:val="00357C5A"/>
    <w:rsid w:val="00357F92"/>
    <w:rsid w:val="00360548"/>
    <w:rsid w:val="0036215A"/>
    <w:rsid w:val="003623BA"/>
    <w:rsid w:val="00362B6A"/>
    <w:rsid w:val="0036354D"/>
    <w:rsid w:val="00363608"/>
    <w:rsid w:val="003638B8"/>
    <w:rsid w:val="00363A32"/>
    <w:rsid w:val="00364601"/>
    <w:rsid w:val="003658CF"/>
    <w:rsid w:val="00366695"/>
    <w:rsid w:val="0036684A"/>
    <w:rsid w:val="00366A4D"/>
    <w:rsid w:val="00366E7D"/>
    <w:rsid w:val="003673B5"/>
    <w:rsid w:val="0037077E"/>
    <w:rsid w:val="0037089B"/>
    <w:rsid w:val="003711CC"/>
    <w:rsid w:val="00372175"/>
    <w:rsid w:val="00372DDC"/>
    <w:rsid w:val="003739C5"/>
    <w:rsid w:val="003742BE"/>
    <w:rsid w:val="00374B80"/>
    <w:rsid w:val="00374F8D"/>
    <w:rsid w:val="003757FE"/>
    <w:rsid w:val="00375A11"/>
    <w:rsid w:val="00376263"/>
    <w:rsid w:val="00376453"/>
    <w:rsid w:val="00377AB6"/>
    <w:rsid w:val="00377CE6"/>
    <w:rsid w:val="00377E84"/>
    <w:rsid w:val="003801EE"/>
    <w:rsid w:val="003812A4"/>
    <w:rsid w:val="00382813"/>
    <w:rsid w:val="0038363D"/>
    <w:rsid w:val="0038412F"/>
    <w:rsid w:val="003843AC"/>
    <w:rsid w:val="00384660"/>
    <w:rsid w:val="00384C04"/>
    <w:rsid w:val="00384CF2"/>
    <w:rsid w:val="00384D17"/>
    <w:rsid w:val="00384FBB"/>
    <w:rsid w:val="003853D8"/>
    <w:rsid w:val="00387275"/>
    <w:rsid w:val="00387276"/>
    <w:rsid w:val="003872D5"/>
    <w:rsid w:val="003905A4"/>
    <w:rsid w:val="003905B5"/>
    <w:rsid w:val="003908A8"/>
    <w:rsid w:val="00390D3E"/>
    <w:rsid w:val="00390FDF"/>
    <w:rsid w:val="003917A7"/>
    <w:rsid w:val="00392B91"/>
    <w:rsid w:val="003932C3"/>
    <w:rsid w:val="00394E75"/>
    <w:rsid w:val="00394F30"/>
    <w:rsid w:val="003953D1"/>
    <w:rsid w:val="00395781"/>
    <w:rsid w:val="00395F22"/>
    <w:rsid w:val="0039634D"/>
    <w:rsid w:val="003A0679"/>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4A2"/>
    <w:rsid w:val="003A4955"/>
    <w:rsid w:val="003A4F17"/>
    <w:rsid w:val="003A5576"/>
    <w:rsid w:val="003A586A"/>
    <w:rsid w:val="003A5C6E"/>
    <w:rsid w:val="003A6000"/>
    <w:rsid w:val="003A6346"/>
    <w:rsid w:val="003A6A56"/>
    <w:rsid w:val="003A6F8C"/>
    <w:rsid w:val="003A7A0C"/>
    <w:rsid w:val="003A7DB4"/>
    <w:rsid w:val="003B0832"/>
    <w:rsid w:val="003B223E"/>
    <w:rsid w:val="003B25BC"/>
    <w:rsid w:val="003B279B"/>
    <w:rsid w:val="003B2CFA"/>
    <w:rsid w:val="003B2ECF"/>
    <w:rsid w:val="003B3BCF"/>
    <w:rsid w:val="003B43B6"/>
    <w:rsid w:val="003B4D71"/>
    <w:rsid w:val="003B4F86"/>
    <w:rsid w:val="003B661A"/>
    <w:rsid w:val="003B6DE4"/>
    <w:rsid w:val="003B6EB5"/>
    <w:rsid w:val="003B6FCE"/>
    <w:rsid w:val="003B709D"/>
    <w:rsid w:val="003B74BC"/>
    <w:rsid w:val="003C0934"/>
    <w:rsid w:val="003C0D6E"/>
    <w:rsid w:val="003C10E9"/>
    <w:rsid w:val="003C1DA8"/>
    <w:rsid w:val="003C3CD1"/>
    <w:rsid w:val="003C4B87"/>
    <w:rsid w:val="003C649E"/>
    <w:rsid w:val="003C6850"/>
    <w:rsid w:val="003C6D2D"/>
    <w:rsid w:val="003C71A6"/>
    <w:rsid w:val="003C71BB"/>
    <w:rsid w:val="003C7BE6"/>
    <w:rsid w:val="003D05F7"/>
    <w:rsid w:val="003D07AE"/>
    <w:rsid w:val="003D14A4"/>
    <w:rsid w:val="003D1CD9"/>
    <w:rsid w:val="003D224B"/>
    <w:rsid w:val="003D3111"/>
    <w:rsid w:val="003D3E9C"/>
    <w:rsid w:val="003D3F49"/>
    <w:rsid w:val="003D3FE4"/>
    <w:rsid w:val="003D40D8"/>
    <w:rsid w:val="003D4338"/>
    <w:rsid w:val="003D46B5"/>
    <w:rsid w:val="003D4B76"/>
    <w:rsid w:val="003D5F0C"/>
    <w:rsid w:val="003D6789"/>
    <w:rsid w:val="003D78BF"/>
    <w:rsid w:val="003D799B"/>
    <w:rsid w:val="003D7B76"/>
    <w:rsid w:val="003E001C"/>
    <w:rsid w:val="003E00B6"/>
    <w:rsid w:val="003E05AC"/>
    <w:rsid w:val="003E1784"/>
    <w:rsid w:val="003E1910"/>
    <w:rsid w:val="003E1DAB"/>
    <w:rsid w:val="003E2155"/>
    <w:rsid w:val="003E233B"/>
    <w:rsid w:val="003E2C41"/>
    <w:rsid w:val="003E322F"/>
    <w:rsid w:val="003E36EF"/>
    <w:rsid w:val="003E3A4B"/>
    <w:rsid w:val="003E3D14"/>
    <w:rsid w:val="003E5545"/>
    <w:rsid w:val="003E578F"/>
    <w:rsid w:val="003E6E86"/>
    <w:rsid w:val="003E6EA2"/>
    <w:rsid w:val="003F0592"/>
    <w:rsid w:val="003F0EFC"/>
    <w:rsid w:val="003F1DBD"/>
    <w:rsid w:val="003F440E"/>
    <w:rsid w:val="003F4B9A"/>
    <w:rsid w:val="003F4C3D"/>
    <w:rsid w:val="003F4CF9"/>
    <w:rsid w:val="003F51B0"/>
    <w:rsid w:val="003F5AFF"/>
    <w:rsid w:val="003F5C5C"/>
    <w:rsid w:val="003F5E41"/>
    <w:rsid w:val="003F60A5"/>
    <w:rsid w:val="003F60C0"/>
    <w:rsid w:val="003F6204"/>
    <w:rsid w:val="003F690B"/>
    <w:rsid w:val="003F7AE3"/>
    <w:rsid w:val="003F7FB1"/>
    <w:rsid w:val="004003E3"/>
    <w:rsid w:val="00400A07"/>
    <w:rsid w:val="004017E5"/>
    <w:rsid w:val="00401F92"/>
    <w:rsid w:val="00402635"/>
    <w:rsid w:val="00402705"/>
    <w:rsid w:val="004028A7"/>
    <w:rsid w:val="00403333"/>
    <w:rsid w:val="004037EF"/>
    <w:rsid w:val="00403EF0"/>
    <w:rsid w:val="004042DB"/>
    <w:rsid w:val="004050E2"/>
    <w:rsid w:val="0040602E"/>
    <w:rsid w:val="004061FA"/>
    <w:rsid w:val="00406845"/>
    <w:rsid w:val="004070B5"/>
    <w:rsid w:val="004073CA"/>
    <w:rsid w:val="00410275"/>
    <w:rsid w:val="00410CAC"/>
    <w:rsid w:val="00410DFD"/>
    <w:rsid w:val="004111AB"/>
    <w:rsid w:val="004113F6"/>
    <w:rsid w:val="00411DB3"/>
    <w:rsid w:val="00412841"/>
    <w:rsid w:val="00412D76"/>
    <w:rsid w:val="004133A3"/>
    <w:rsid w:val="00413507"/>
    <w:rsid w:val="00413B22"/>
    <w:rsid w:val="00413D57"/>
    <w:rsid w:val="0041449F"/>
    <w:rsid w:val="004149FF"/>
    <w:rsid w:val="00414D87"/>
    <w:rsid w:val="0041530E"/>
    <w:rsid w:val="00415C92"/>
    <w:rsid w:val="0041624E"/>
    <w:rsid w:val="0041641A"/>
    <w:rsid w:val="0041737F"/>
    <w:rsid w:val="00417974"/>
    <w:rsid w:val="00420892"/>
    <w:rsid w:val="00421035"/>
    <w:rsid w:val="0042139D"/>
    <w:rsid w:val="00422004"/>
    <w:rsid w:val="00422025"/>
    <w:rsid w:val="0042245E"/>
    <w:rsid w:val="004228D8"/>
    <w:rsid w:val="00423632"/>
    <w:rsid w:val="00423D6B"/>
    <w:rsid w:val="0042404E"/>
    <w:rsid w:val="004248DD"/>
    <w:rsid w:val="00424DF6"/>
    <w:rsid w:val="0042530A"/>
    <w:rsid w:val="0042560F"/>
    <w:rsid w:val="00425637"/>
    <w:rsid w:val="00425ACA"/>
    <w:rsid w:val="00427146"/>
    <w:rsid w:val="004275A3"/>
    <w:rsid w:val="0042768C"/>
    <w:rsid w:val="0043084B"/>
    <w:rsid w:val="00431CE7"/>
    <w:rsid w:val="00431D6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373AC"/>
    <w:rsid w:val="004400CA"/>
    <w:rsid w:val="00440E28"/>
    <w:rsid w:val="00441044"/>
    <w:rsid w:val="004420F9"/>
    <w:rsid w:val="00442A93"/>
    <w:rsid w:val="0044307C"/>
    <w:rsid w:val="004438E3"/>
    <w:rsid w:val="00443D58"/>
    <w:rsid w:val="00443E19"/>
    <w:rsid w:val="004445FE"/>
    <w:rsid w:val="00444DAE"/>
    <w:rsid w:val="0044598B"/>
    <w:rsid w:val="00446239"/>
    <w:rsid w:val="0044655B"/>
    <w:rsid w:val="00446598"/>
    <w:rsid w:val="0044697D"/>
    <w:rsid w:val="00447B60"/>
    <w:rsid w:val="00450180"/>
    <w:rsid w:val="004508BE"/>
    <w:rsid w:val="00450CEE"/>
    <w:rsid w:val="0045127E"/>
    <w:rsid w:val="0045213B"/>
    <w:rsid w:val="0045264B"/>
    <w:rsid w:val="004529B5"/>
    <w:rsid w:val="00452D19"/>
    <w:rsid w:val="00453B54"/>
    <w:rsid w:val="00453D03"/>
    <w:rsid w:val="00453FF8"/>
    <w:rsid w:val="004541BA"/>
    <w:rsid w:val="00454932"/>
    <w:rsid w:val="0045524A"/>
    <w:rsid w:val="0045524F"/>
    <w:rsid w:val="0045557D"/>
    <w:rsid w:val="00456272"/>
    <w:rsid w:val="00456285"/>
    <w:rsid w:val="004563DB"/>
    <w:rsid w:val="00457948"/>
    <w:rsid w:val="0045796D"/>
    <w:rsid w:val="00457A57"/>
    <w:rsid w:val="0046078A"/>
    <w:rsid w:val="00460A06"/>
    <w:rsid w:val="00460BFC"/>
    <w:rsid w:val="00460D5F"/>
    <w:rsid w:val="0046181F"/>
    <w:rsid w:val="00462227"/>
    <w:rsid w:val="0046291D"/>
    <w:rsid w:val="00462C00"/>
    <w:rsid w:val="004654D5"/>
    <w:rsid w:val="004662F1"/>
    <w:rsid w:val="0046643A"/>
    <w:rsid w:val="00466978"/>
    <w:rsid w:val="00466F00"/>
    <w:rsid w:val="00466F4A"/>
    <w:rsid w:val="00467339"/>
    <w:rsid w:val="00467586"/>
    <w:rsid w:val="00467CF6"/>
    <w:rsid w:val="00470C53"/>
    <w:rsid w:val="00471092"/>
    <w:rsid w:val="00472ADE"/>
    <w:rsid w:val="004736FF"/>
    <w:rsid w:val="00473A4A"/>
    <w:rsid w:val="00473B31"/>
    <w:rsid w:val="004742E9"/>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22B"/>
    <w:rsid w:val="004866B6"/>
    <w:rsid w:val="00486E8D"/>
    <w:rsid w:val="0049006D"/>
    <w:rsid w:val="004907B9"/>
    <w:rsid w:val="0049081B"/>
    <w:rsid w:val="004908DE"/>
    <w:rsid w:val="00491C7B"/>
    <w:rsid w:val="00491D96"/>
    <w:rsid w:val="00491E83"/>
    <w:rsid w:val="0049252B"/>
    <w:rsid w:val="0049255E"/>
    <w:rsid w:val="004926AD"/>
    <w:rsid w:val="004929B1"/>
    <w:rsid w:val="0049318C"/>
    <w:rsid w:val="00493483"/>
    <w:rsid w:val="00493602"/>
    <w:rsid w:val="00494101"/>
    <w:rsid w:val="00494339"/>
    <w:rsid w:val="00494C56"/>
    <w:rsid w:val="00495202"/>
    <w:rsid w:val="00495654"/>
    <w:rsid w:val="00495F27"/>
    <w:rsid w:val="004960CF"/>
    <w:rsid w:val="004964FF"/>
    <w:rsid w:val="00496500"/>
    <w:rsid w:val="00496A5D"/>
    <w:rsid w:val="004970A1"/>
    <w:rsid w:val="004970A4"/>
    <w:rsid w:val="00497447"/>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464C"/>
    <w:rsid w:val="004A531B"/>
    <w:rsid w:val="004A5519"/>
    <w:rsid w:val="004A59C0"/>
    <w:rsid w:val="004A59CB"/>
    <w:rsid w:val="004A5DC7"/>
    <w:rsid w:val="004A6067"/>
    <w:rsid w:val="004A6D03"/>
    <w:rsid w:val="004A714E"/>
    <w:rsid w:val="004A727B"/>
    <w:rsid w:val="004A7791"/>
    <w:rsid w:val="004A7EC3"/>
    <w:rsid w:val="004B0377"/>
    <w:rsid w:val="004B08EE"/>
    <w:rsid w:val="004B14C1"/>
    <w:rsid w:val="004B302E"/>
    <w:rsid w:val="004B30C0"/>
    <w:rsid w:val="004B3CC9"/>
    <w:rsid w:val="004B3FA4"/>
    <w:rsid w:val="004B463E"/>
    <w:rsid w:val="004B6769"/>
    <w:rsid w:val="004B6B75"/>
    <w:rsid w:val="004B6D75"/>
    <w:rsid w:val="004B6F0D"/>
    <w:rsid w:val="004B745A"/>
    <w:rsid w:val="004C035C"/>
    <w:rsid w:val="004C0D55"/>
    <w:rsid w:val="004C0DB0"/>
    <w:rsid w:val="004C10C1"/>
    <w:rsid w:val="004C18B9"/>
    <w:rsid w:val="004C1A10"/>
    <w:rsid w:val="004C1F31"/>
    <w:rsid w:val="004C2A2E"/>
    <w:rsid w:val="004C3410"/>
    <w:rsid w:val="004C347E"/>
    <w:rsid w:val="004C3FA6"/>
    <w:rsid w:val="004C41C3"/>
    <w:rsid w:val="004C458E"/>
    <w:rsid w:val="004C4B78"/>
    <w:rsid w:val="004C51B9"/>
    <w:rsid w:val="004C56B0"/>
    <w:rsid w:val="004C5B2E"/>
    <w:rsid w:val="004C5BDD"/>
    <w:rsid w:val="004C5C8E"/>
    <w:rsid w:val="004C5DEA"/>
    <w:rsid w:val="004C5F8D"/>
    <w:rsid w:val="004C62F9"/>
    <w:rsid w:val="004C7003"/>
    <w:rsid w:val="004C71F0"/>
    <w:rsid w:val="004C7595"/>
    <w:rsid w:val="004C79E2"/>
    <w:rsid w:val="004D0908"/>
    <w:rsid w:val="004D09FE"/>
    <w:rsid w:val="004D0AC3"/>
    <w:rsid w:val="004D0C0E"/>
    <w:rsid w:val="004D0C5A"/>
    <w:rsid w:val="004D13A8"/>
    <w:rsid w:val="004D13F7"/>
    <w:rsid w:val="004D1804"/>
    <w:rsid w:val="004D2914"/>
    <w:rsid w:val="004D297C"/>
    <w:rsid w:val="004D447C"/>
    <w:rsid w:val="004D4EB0"/>
    <w:rsid w:val="004D5232"/>
    <w:rsid w:val="004D5261"/>
    <w:rsid w:val="004D53DA"/>
    <w:rsid w:val="004D5885"/>
    <w:rsid w:val="004D5B72"/>
    <w:rsid w:val="004D6029"/>
    <w:rsid w:val="004D650F"/>
    <w:rsid w:val="004D65D0"/>
    <w:rsid w:val="004D6917"/>
    <w:rsid w:val="004E088E"/>
    <w:rsid w:val="004E094C"/>
    <w:rsid w:val="004E0E21"/>
    <w:rsid w:val="004E1D55"/>
    <w:rsid w:val="004E2F3C"/>
    <w:rsid w:val="004E436D"/>
    <w:rsid w:val="004E46DB"/>
    <w:rsid w:val="004E4A1B"/>
    <w:rsid w:val="004E5A0C"/>
    <w:rsid w:val="004E5C02"/>
    <w:rsid w:val="004E6006"/>
    <w:rsid w:val="004E629C"/>
    <w:rsid w:val="004E6F09"/>
    <w:rsid w:val="004E773B"/>
    <w:rsid w:val="004E77E3"/>
    <w:rsid w:val="004E7A1B"/>
    <w:rsid w:val="004F03B4"/>
    <w:rsid w:val="004F0707"/>
    <w:rsid w:val="004F0AC2"/>
    <w:rsid w:val="004F140D"/>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17ACF"/>
    <w:rsid w:val="0052219E"/>
    <w:rsid w:val="00522555"/>
    <w:rsid w:val="00523250"/>
    <w:rsid w:val="0052349C"/>
    <w:rsid w:val="005234FE"/>
    <w:rsid w:val="0052376F"/>
    <w:rsid w:val="0052383C"/>
    <w:rsid w:val="005244E4"/>
    <w:rsid w:val="00524894"/>
    <w:rsid w:val="00524A9F"/>
    <w:rsid w:val="00525F86"/>
    <w:rsid w:val="0052740C"/>
    <w:rsid w:val="005304B9"/>
    <w:rsid w:val="005315C3"/>
    <w:rsid w:val="005316F6"/>
    <w:rsid w:val="00531C8F"/>
    <w:rsid w:val="005322FF"/>
    <w:rsid w:val="00532FD2"/>
    <w:rsid w:val="00533001"/>
    <w:rsid w:val="005332CC"/>
    <w:rsid w:val="00533566"/>
    <w:rsid w:val="00533723"/>
    <w:rsid w:val="0053375A"/>
    <w:rsid w:val="0053441A"/>
    <w:rsid w:val="0053491A"/>
    <w:rsid w:val="005353EE"/>
    <w:rsid w:val="00535625"/>
    <w:rsid w:val="00535831"/>
    <w:rsid w:val="00535FA9"/>
    <w:rsid w:val="00536175"/>
    <w:rsid w:val="0053650C"/>
    <w:rsid w:val="00536798"/>
    <w:rsid w:val="00536FBF"/>
    <w:rsid w:val="00536FFF"/>
    <w:rsid w:val="00540198"/>
    <w:rsid w:val="005406C0"/>
    <w:rsid w:val="00540EBE"/>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5A0"/>
    <w:rsid w:val="00551F4C"/>
    <w:rsid w:val="00552014"/>
    <w:rsid w:val="00552706"/>
    <w:rsid w:val="00552775"/>
    <w:rsid w:val="00552900"/>
    <w:rsid w:val="005529AF"/>
    <w:rsid w:val="0055600E"/>
    <w:rsid w:val="005562E7"/>
    <w:rsid w:val="00556D8B"/>
    <w:rsid w:val="005574B9"/>
    <w:rsid w:val="0056120E"/>
    <w:rsid w:val="00561FB6"/>
    <w:rsid w:val="005620E4"/>
    <w:rsid w:val="00562880"/>
    <w:rsid w:val="00563B2D"/>
    <w:rsid w:val="00563C13"/>
    <w:rsid w:val="00563E41"/>
    <w:rsid w:val="00563F76"/>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E8E"/>
    <w:rsid w:val="005730D7"/>
    <w:rsid w:val="0057333B"/>
    <w:rsid w:val="00573D62"/>
    <w:rsid w:val="00574115"/>
    <w:rsid w:val="00574867"/>
    <w:rsid w:val="00574D49"/>
    <w:rsid w:val="00575169"/>
    <w:rsid w:val="0057569F"/>
    <w:rsid w:val="00576F49"/>
    <w:rsid w:val="00577B43"/>
    <w:rsid w:val="00577BBB"/>
    <w:rsid w:val="00580C30"/>
    <w:rsid w:val="00580C39"/>
    <w:rsid w:val="00580FDB"/>
    <w:rsid w:val="005810F6"/>
    <w:rsid w:val="00581192"/>
    <w:rsid w:val="0058121E"/>
    <w:rsid w:val="005815E3"/>
    <w:rsid w:val="0058186B"/>
    <w:rsid w:val="00581FA5"/>
    <w:rsid w:val="005826DC"/>
    <w:rsid w:val="005828A4"/>
    <w:rsid w:val="005828E1"/>
    <w:rsid w:val="00582DBB"/>
    <w:rsid w:val="0058343D"/>
    <w:rsid w:val="00583594"/>
    <w:rsid w:val="00584706"/>
    <w:rsid w:val="00585108"/>
    <w:rsid w:val="00585448"/>
    <w:rsid w:val="005856E8"/>
    <w:rsid w:val="00586410"/>
    <w:rsid w:val="00586C09"/>
    <w:rsid w:val="00587AF0"/>
    <w:rsid w:val="00587B7E"/>
    <w:rsid w:val="00587D0E"/>
    <w:rsid w:val="00590019"/>
    <w:rsid w:val="0059002C"/>
    <w:rsid w:val="005901DE"/>
    <w:rsid w:val="00590D28"/>
    <w:rsid w:val="00590E23"/>
    <w:rsid w:val="005914AD"/>
    <w:rsid w:val="00591873"/>
    <w:rsid w:val="0059274F"/>
    <w:rsid w:val="005928A7"/>
    <w:rsid w:val="00592B31"/>
    <w:rsid w:val="00592EED"/>
    <w:rsid w:val="0059391C"/>
    <w:rsid w:val="00593A87"/>
    <w:rsid w:val="005941A4"/>
    <w:rsid w:val="005948A0"/>
    <w:rsid w:val="00596C9A"/>
    <w:rsid w:val="0059735E"/>
    <w:rsid w:val="00597949"/>
    <w:rsid w:val="005979BD"/>
    <w:rsid w:val="00597E96"/>
    <w:rsid w:val="005A0698"/>
    <w:rsid w:val="005A217E"/>
    <w:rsid w:val="005A2500"/>
    <w:rsid w:val="005A25BD"/>
    <w:rsid w:val="005A29F0"/>
    <w:rsid w:val="005A2D93"/>
    <w:rsid w:val="005A34D0"/>
    <w:rsid w:val="005A39BC"/>
    <w:rsid w:val="005A40D1"/>
    <w:rsid w:val="005A54DA"/>
    <w:rsid w:val="005A55AA"/>
    <w:rsid w:val="005A5D3A"/>
    <w:rsid w:val="005A5D6D"/>
    <w:rsid w:val="005A5DDB"/>
    <w:rsid w:val="005A6088"/>
    <w:rsid w:val="005A62C0"/>
    <w:rsid w:val="005A65EC"/>
    <w:rsid w:val="005A6F74"/>
    <w:rsid w:val="005A7A0B"/>
    <w:rsid w:val="005B0187"/>
    <w:rsid w:val="005B0693"/>
    <w:rsid w:val="005B07BC"/>
    <w:rsid w:val="005B0FB6"/>
    <w:rsid w:val="005B112E"/>
    <w:rsid w:val="005B2660"/>
    <w:rsid w:val="005B3372"/>
    <w:rsid w:val="005B3701"/>
    <w:rsid w:val="005B3E56"/>
    <w:rsid w:val="005B4C75"/>
    <w:rsid w:val="005B5C8A"/>
    <w:rsid w:val="005B65FA"/>
    <w:rsid w:val="005B66F0"/>
    <w:rsid w:val="005B690A"/>
    <w:rsid w:val="005B6961"/>
    <w:rsid w:val="005B778F"/>
    <w:rsid w:val="005C014A"/>
    <w:rsid w:val="005C01CC"/>
    <w:rsid w:val="005C07EB"/>
    <w:rsid w:val="005C0BBA"/>
    <w:rsid w:val="005C11FF"/>
    <w:rsid w:val="005C1FBE"/>
    <w:rsid w:val="005C1FD0"/>
    <w:rsid w:val="005C24A2"/>
    <w:rsid w:val="005C2636"/>
    <w:rsid w:val="005C29B7"/>
    <w:rsid w:val="005C3C0A"/>
    <w:rsid w:val="005C3DA6"/>
    <w:rsid w:val="005C40FA"/>
    <w:rsid w:val="005C482B"/>
    <w:rsid w:val="005C50B9"/>
    <w:rsid w:val="005C5D27"/>
    <w:rsid w:val="005C6567"/>
    <w:rsid w:val="005C6653"/>
    <w:rsid w:val="005C6726"/>
    <w:rsid w:val="005C6ED1"/>
    <w:rsid w:val="005C77ED"/>
    <w:rsid w:val="005C7C1C"/>
    <w:rsid w:val="005C7DC8"/>
    <w:rsid w:val="005D0036"/>
    <w:rsid w:val="005D0D33"/>
    <w:rsid w:val="005D0D5C"/>
    <w:rsid w:val="005D14B6"/>
    <w:rsid w:val="005D1CD4"/>
    <w:rsid w:val="005D291F"/>
    <w:rsid w:val="005D2A38"/>
    <w:rsid w:val="005D3106"/>
    <w:rsid w:val="005D36A7"/>
    <w:rsid w:val="005D3954"/>
    <w:rsid w:val="005D4046"/>
    <w:rsid w:val="005D4622"/>
    <w:rsid w:val="005D46D0"/>
    <w:rsid w:val="005D51AB"/>
    <w:rsid w:val="005D5335"/>
    <w:rsid w:val="005D6351"/>
    <w:rsid w:val="005D757B"/>
    <w:rsid w:val="005D78FC"/>
    <w:rsid w:val="005D7B95"/>
    <w:rsid w:val="005D7EDA"/>
    <w:rsid w:val="005E00C3"/>
    <w:rsid w:val="005E034B"/>
    <w:rsid w:val="005E05A9"/>
    <w:rsid w:val="005E06AE"/>
    <w:rsid w:val="005E08F4"/>
    <w:rsid w:val="005E0FE2"/>
    <w:rsid w:val="005E15AE"/>
    <w:rsid w:val="005E1C01"/>
    <w:rsid w:val="005E24CC"/>
    <w:rsid w:val="005E2EB9"/>
    <w:rsid w:val="005E3268"/>
    <w:rsid w:val="005E3647"/>
    <w:rsid w:val="005E3B4A"/>
    <w:rsid w:val="005E3E10"/>
    <w:rsid w:val="005E3FC0"/>
    <w:rsid w:val="005E41DE"/>
    <w:rsid w:val="005E43EF"/>
    <w:rsid w:val="005E4E21"/>
    <w:rsid w:val="005E61F2"/>
    <w:rsid w:val="005E6655"/>
    <w:rsid w:val="005E70DF"/>
    <w:rsid w:val="005E792F"/>
    <w:rsid w:val="005E7C72"/>
    <w:rsid w:val="005F0459"/>
    <w:rsid w:val="005F07F3"/>
    <w:rsid w:val="005F0AFB"/>
    <w:rsid w:val="005F0E65"/>
    <w:rsid w:val="005F121E"/>
    <w:rsid w:val="005F2026"/>
    <w:rsid w:val="005F2925"/>
    <w:rsid w:val="005F34BB"/>
    <w:rsid w:val="005F4132"/>
    <w:rsid w:val="005F4214"/>
    <w:rsid w:val="005F4804"/>
    <w:rsid w:val="005F4BD1"/>
    <w:rsid w:val="005F4E45"/>
    <w:rsid w:val="005F507B"/>
    <w:rsid w:val="005F5B6A"/>
    <w:rsid w:val="005F5BBA"/>
    <w:rsid w:val="005F7355"/>
    <w:rsid w:val="005F74B0"/>
    <w:rsid w:val="005F7929"/>
    <w:rsid w:val="005F7B23"/>
    <w:rsid w:val="0060000C"/>
    <w:rsid w:val="00600DE8"/>
    <w:rsid w:val="0060136D"/>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6B0"/>
    <w:rsid w:val="00614788"/>
    <w:rsid w:val="00614DBE"/>
    <w:rsid w:val="00615889"/>
    <w:rsid w:val="00615A5B"/>
    <w:rsid w:val="00616642"/>
    <w:rsid w:val="00616BBE"/>
    <w:rsid w:val="006170C8"/>
    <w:rsid w:val="00617B07"/>
    <w:rsid w:val="00617D57"/>
    <w:rsid w:val="00620A25"/>
    <w:rsid w:val="006218F0"/>
    <w:rsid w:val="00621DBA"/>
    <w:rsid w:val="00621F05"/>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A71"/>
    <w:rsid w:val="00630F49"/>
    <w:rsid w:val="00631303"/>
    <w:rsid w:val="0063150A"/>
    <w:rsid w:val="00631520"/>
    <w:rsid w:val="0063166F"/>
    <w:rsid w:val="006319C7"/>
    <w:rsid w:val="0063214A"/>
    <w:rsid w:val="006335C9"/>
    <w:rsid w:val="006336CB"/>
    <w:rsid w:val="00633B4B"/>
    <w:rsid w:val="00633DAB"/>
    <w:rsid w:val="00634367"/>
    <w:rsid w:val="00634530"/>
    <w:rsid w:val="0063482C"/>
    <w:rsid w:val="006348B3"/>
    <w:rsid w:val="006355E0"/>
    <w:rsid w:val="006368E8"/>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0F"/>
    <w:rsid w:val="006476CA"/>
    <w:rsid w:val="00647D6A"/>
    <w:rsid w:val="00647E25"/>
    <w:rsid w:val="0065039A"/>
    <w:rsid w:val="0065040C"/>
    <w:rsid w:val="0065125C"/>
    <w:rsid w:val="006528DC"/>
    <w:rsid w:val="00652E09"/>
    <w:rsid w:val="006534A5"/>
    <w:rsid w:val="00653F7C"/>
    <w:rsid w:val="006545EB"/>
    <w:rsid w:val="00654AB8"/>
    <w:rsid w:val="00654B36"/>
    <w:rsid w:val="00654C01"/>
    <w:rsid w:val="00654F33"/>
    <w:rsid w:val="00654F63"/>
    <w:rsid w:val="00656363"/>
    <w:rsid w:val="00656462"/>
    <w:rsid w:val="00657566"/>
    <w:rsid w:val="00657CAA"/>
    <w:rsid w:val="00660322"/>
    <w:rsid w:val="0066087B"/>
    <w:rsid w:val="0066106E"/>
    <w:rsid w:val="00662214"/>
    <w:rsid w:val="00662B62"/>
    <w:rsid w:val="00662D5C"/>
    <w:rsid w:val="00663367"/>
    <w:rsid w:val="0066346A"/>
    <w:rsid w:val="00663568"/>
    <w:rsid w:val="0066456F"/>
    <w:rsid w:val="006646FA"/>
    <w:rsid w:val="00664A09"/>
    <w:rsid w:val="00664A1F"/>
    <w:rsid w:val="006665EE"/>
    <w:rsid w:val="0066678A"/>
    <w:rsid w:val="00666DE5"/>
    <w:rsid w:val="00667051"/>
    <w:rsid w:val="00670229"/>
    <w:rsid w:val="00670494"/>
    <w:rsid w:val="006705A0"/>
    <w:rsid w:val="006706B8"/>
    <w:rsid w:val="00670AC4"/>
    <w:rsid w:val="00671255"/>
    <w:rsid w:val="0067141B"/>
    <w:rsid w:val="00671A0E"/>
    <w:rsid w:val="00671B62"/>
    <w:rsid w:val="0067233B"/>
    <w:rsid w:val="00672C94"/>
    <w:rsid w:val="00673413"/>
    <w:rsid w:val="00673A96"/>
    <w:rsid w:val="00674364"/>
    <w:rsid w:val="0067490B"/>
    <w:rsid w:val="00674AB7"/>
    <w:rsid w:val="00674BDF"/>
    <w:rsid w:val="00674DC9"/>
    <w:rsid w:val="00674F79"/>
    <w:rsid w:val="00675A92"/>
    <w:rsid w:val="00675FCE"/>
    <w:rsid w:val="006760E9"/>
    <w:rsid w:val="00676BBA"/>
    <w:rsid w:val="00676EBD"/>
    <w:rsid w:val="00680483"/>
    <w:rsid w:val="006806FC"/>
    <w:rsid w:val="00680B7F"/>
    <w:rsid w:val="00680BEC"/>
    <w:rsid w:val="00680C2A"/>
    <w:rsid w:val="00680FDA"/>
    <w:rsid w:val="00681EB4"/>
    <w:rsid w:val="00681EBB"/>
    <w:rsid w:val="00682064"/>
    <w:rsid w:val="00682269"/>
    <w:rsid w:val="006829A9"/>
    <w:rsid w:val="00682B8B"/>
    <w:rsid w:val="00682EB2"/>
    <w:rsid w:val="00683100"/>
    <w:rsid w:val="006845BE"/>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BF4"/>
    <w:rsid w:val="00692EEA"/>
    <w:rsid w:val="0069304B"/>
    <w:rsid w:val="00693446"/>
    <w:rsid w:val="00694360"/>
    <w:rsid w:val="00696479"/>
    <w:rsid w:val="006966DA"/>
    <w:rsid w:val="00696A0B"/>
    <w:rsid w:val="0069712A"/>
    <w:rsid w:val="006976B6"/>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5A3D"/>
    <w:rsid w:val="006A621E"/>
    <w:rsid w:val="006A7112"/>
    <w:rsid w:val="006A7466"/>
    <w:rsid w:val="006A7572"/>
    <w:rsid w:val="006B03B1"/>
    <w:rsid w:val="006B0700"/>
    <w:rsid w:val="006B0939"/>
    <w:rsid w:val="006B0CA7"/>
    <w:rsid w:val="006B1964"/>
    <w:rsid w:val="006B1B33"/>
    <w:rsid w:val="006B1FA4"/>
    <w:rsid w:val="006B260E"/>
    <w:rsid w:val="006B28F0"/>
    <w:rsid w:val="006B30DF"/>
    <w:rsid w:val="006B3471"/>
    <w:rsid w:val="006B4254"/>
    <w:rsid w:val="006B4AB5"/>
    <w:rsid w:val="006B58D9"/>
    <w:rsid w:val="006B5ABF"/>
    <w:rsid w:val="006B5B2B"/>
    <w:rsid w:val="006B644F"/>
    <w:rsid w:val="006B68F1"/>
    <w:rsid w:val="006B7069"/>
    <w:rsid w:val="006B785E"/>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68C"/>
    <w:rsid w:val="006C5A52"/>
    <w:rsid w:val="006C5B34"/>
    <w:rsid w:val="006C6BCA"/>
    <w:rsid w:val="006C6ED5"/>
    <w:rsid w:val="006C708A"/>
    <w:rsid w:val="006C78D1"/>
    <w:rsid w:val="006C7EF9"/>
    <w:rsid w:val="006D0267"/>
    <w:rsid w:val="006D03FF"/>
    <w:rsid w:val="006D0CC7"/>
    <w:rsid w:val="006D0D25"/>
    <w:rsid w:val="006D11E4"/>
    <w:rsid w:val="006D1372"/>
    <w:rsid w:val="006D1494"/>
    <w:rsid w:val="006D26FA"/>
    <w:rsid w:val="006D2DF2"/>
    <w:rsid w:val="006D3557"/>
    <w:rsid w:val="006D35CB"/>
    <w:rsid w:val="006D3E95"/>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3A00"/>
    <w:rsid w:val="006E3B14"/>
    <w:rsid w:val="006E4E42"/>
    <w:rsid w:val="006E514A"/>
    <w:rsid w:val="006E51C8"/>
    <w:rsid w:val="006E537F"/>
    <w:rsid w:val="006E651A"/>
    <w:rsid w:val="006E65FD"/>
    <w:rsid w:val="006E67E7"/>
    <w:rsid w:val="006E7100"/>
    <w:rsid w:val="006E7568"/>
    <w:rsid w:val="006E762A"/>
    <w:rsid w:val="006F032C"/>
    <w:rsid w:val="006F0964"/>
    <w:rsid w:val="006F1256"/>
    <w:rsid w:val="006F1FA8"/>
    <w:rsid w:val="006F2216"/>
    <w:rsid w:val="006F2500"/>
    <w:rsid w:val="006F261A"/>
    <w:rsid w:val="006F2AE3"/>
    <w:rsid w:val="006F3435"/>
    <w:rsid w:val="006F3C5F"/>
    <w:rsid w:val="006F3E79"/>
    <w:rsid w:val="006F4B84"/>
    <w:rsid w:val="006F5472"/>
    <w:rsid w:val="006F570C"/>
    <w:rsid w:val="006F573B"/>
    <w:rsid w:val="006F59E4"/>
    <w:rsid w:val="006F6809"/>
    <w:rsid w:val="006F694C"/>
    <w:rsid w:val="006F69DE"/>
    <w:rsid w:val="006F7364"/>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0C79"/>
    <w:rsid w:val="007112E5"/>
    <w:rsid w:val="0071157C"/>
    <w:rsid w:val="007117D5"/>
    <w:rsid w:val="00711871"/>
    <w:rsid w:val="00712622"/>
    <w:rsid w:val="007127B2"/>
    <w:rsid w:val="007128D9"/>
    <w:rsid w:val="00712F5E"/>
    <w:rsid w:val="00713675"/>
    <w:rsid w:val="0071462E"/>
    <w:rsid w:val="00715918"/>
    <w:rsid w:val="00715AE0"/>
    <w:rsid w:val="007165B5"/>
    <w:rsid w:val="0071718A"/>
    <w:rsid w:val="007171A1"/>
    <w:rsid w:val="007175C2"/>
    <w:rsid w:val="0071779B"/>
    <w:rsid w:val="00717A39"/>
    <w:rsid w:val="00720395"/>
    <w:rsid w:val="00720E8E"/>
    <w:rsid w:val="00721614"/>
    <w:rsid w:val="00721E37"/>
    <w:rsid w:val="007221E2"/>
    <w:rsid w:val="00722BCE"/>
    <w:rsid w:val="00723416"/>
    <w:rsid w:val="00723AAA"/>
    <w:rsid w:val="00723B51"/>
    <w:rsid w:val="0072419F"/>
    <w:rsid w:val="00724EAB"/>
    <w:rsid w:val="00724EC5"/>
    <w:rsid w:val="007259C2"/>
    <w:rsid w:val="007259C4"/>
    <w:rsid w:val="00725AC7"/>
    <w:rsid w:val="00726465"/>
    <w:rsid w:val="00726A23"/>
    <w:rsid w:val="00727399"/>
    <w:rsid w:val="007275CF"/>
    <w:rsid w:val="007304FF"/>
    <w:rsid w:val="00731AD2"/>
    <w:rsid w:val="00731D29"/>
    <w:rsid w:val="007322AB"/>
    <w:rsid w:val="00732363"/>
    <w:rsid w:val="007329D2"/>
    <w:rsid w:val="007329DC"/>
    <w:rsid w:val="007336A0"/>
    <w:rsid w:val="00733C2F"/>
    <w:rsid w:val="00734411"/>
    <w:rsid w:val="00734F75"/>
    <w:rsid w:val="0073516D"/>
    <w:rsid w:val="007353A3"/>
    <w:rsid w:val="007357DA"/>
    <w:rsid w:val="00735C95"/>
    <w:rsid w:val="007366C7"/>
    <w:rsid w:val="00736B55"/>
    <w:rsid w:val="00736F62"/>
    <w:rsid w:val="007370B3"/>
    <w:rsid w:val="007377E3"/>
    <w:rsid w:val="00737B89"/>
    <w:rsid w:val="0074058D"/>
    <w:rsid w:val="00740D75"/>
    <w:rsid w:val="0074103B"/>
    <w:rsid w:val="007412A1"/>
    <w:rsid w:val="0074136C"/>
    <w:rsid w:val="00741DFB"/>
    <w:rsid w:val="00741FEC"/>
    <w:rsid w:val="007421F4"/>
    <w:rsid w:val="00742B8C"/>
    <w:rsid w:val="0074376C"/>
    <w:rsid w:val="00743D5F"/>
    <w:rsid w:val="00743E08"/>
    <w:rsid w:val="00743FD7"/>
    <w:rsid w:val="007446C5"/>
    <w:rsid w:val="00744D68"/>
    <w:rsid w:val="007454CD"/>
    <w:rsid w:val="00746485"/>
    <w:rsid w:val="007467A5"/>
    <w:rsid w:val="0074776E"/>
    <w:rsid w:val="0075091F"/>
    <w:rsid w:val="00751560"/>
    <w:rsid w:val="00752B4B"/>
    <w:rsid w:val="00752C78"/>
    <w:rsid w:val="00752E2F"/>
    <w:rsid w:val="00753654"/>
    <w:rsid w:val="0075388B"/>
    <w:rsid w:val="00753E16"/>
    <w:rsid w:val="00754128"/>
    <w:rsid w:val="00754575"/>
    <w:rsid w:val="00754957"/>
    <w:rsid w:val="00754B49"/>
    <w:rsid w:val="007554CE"/>
    <w:rsid w:val="0075558E"/>
    <w:rsid w:val="00755D3B"/>
    <w:rsid w:val="0075622A"/>
    <w:rsid w:val="007573D3"/>
    <w:rsid w:val="0075794E"/>
    <w:rsid w:val="007607A3"/>
    <w:rsid w:val="00760997"/>
    <w:rsid w:val="00760E03"/>
    <w:rsid w:val="00761BE6"/>
    <w:rsid w:val="00761FED"/>
    <w:rsid w:val="007620B6"/>
    <w:rsid w:val="00764000"/>
    <w:rsid w:val="0076455A"/>
    <w:rsid w:val="0076633C"/>
    <w:rsid w:val="007664E3"/>
    <w:rsid w:val="007665F6"/>
    <w:rsid w:val="007666FE"/>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AED"/>
    <w:rsid w:val="00773B44"/>
    <w:rsid w:val="00773F82"/>
    <w:rsid w:val="00774207"/>
    <w:rsid w:val="00774314"/>
    <w:rsid w:val="007743A7"/>
    <w:rsid w:val="00774827"/>
    <w:rsid w:val="00774E70"/>
    <w:rsid w:val="00774F22"/>
    <w:rsid w:val="00774FB4"/>
    <w:rsid w:val="00775BC0"/>
    <w:rsid w:val="007768D9"/>
    <w:rsid w:val="00777286"/>
    <w:rsid w:val="00781228"/>
    <w:rsid w:val="0078200C"/>
    <w:rsid w:val="007820FA"/>
    <w:rsid w:val="00782C0F"/>
    <w:rsid w:val="007848A3"/>
    <w:rsid w:val="00784ADB"/>
    <w:rsid w:val="00784B81"/>
    <w:rsid w:val="007854B3"/>
    <w:rsid w:val="007856B2"/>
    <w:rsid w:val="007861CA"/>
    <w:rsid w:val="007867D3"/>
    <w:rsid w:val="0078696E"/>
    <w:rsid w:val="00786A4A"/>
    <w:rsid w:val="00787526"/>
    <w:rsid w:val="0079051A"/>
    <w:rsid w:val="00790919"/>
    <w:rsid w:val="00792739"/>
    <w:rsid w:val="0079491E"/>
    <w:rsid w:val="00794C46"/>
    <w:rsid w:val="00794DCB"/>
    <w:rsid w:val="00795235"/>
    <w:rsid w:val="0079603C"/>
    <w:rsid w:val="00796779"/>
    <w:rsid w:val="007969E1"/>
    <w:rsid w:val="00797AA9"/>
    <w:rsid w:val="007A0062"/>
    <w:rsid w:val="007A06AC"/>
    <w:rsid w:val="007A08C0"/>
    <w:rsid w:val="007A18AF"/>
    <w:rsid w:val="007A20C1"/>
    <w:rsid w:val="007A2946"/>
    <w:rsid w:val="007A2CA9"/>
    <w:rsid w:val="007A2F2D"/>
    <w:rsid w:val="007A356F"/>
    <w:rsid w:val="007A3C37"/>
    <w:rsid w:val="007A4287"/>
    <w:rsid w:val="007A42AA"/>
    <w:rsid w:val="007A5093"/>
    <w:rsid w:val="007A5FC0"/>
    <w:rsid w:val="007A6497"/>
    <w:rsid w:val="007A667D"/>
    <w:rsid w:val="007A66A0"/>
    <w:rsid w:val="007A6AFF"/>
    <w:rsid w:val="007A76FF"/>
    <w:rsid w:val="007A7EA7"/>
    <w:rsid w:val="007B1565"/>
    <w:rsid w:val="007B21F8"/>
    <w:rsid w:val="007B2E08"/>
    <w:rsid w:val="007B303E"/>
    <w:rsid w:val="007B3635"/>
    <w:rsid w:val="007B466C"/>
    <w:rsid w:val="007B4A85"/>
    <w:rsid w:val="007B4ED2"/>
    <w:rsid w:val="007B5549"/>
    <w:rsid w:val="007B613C"/>
    <w:rsid w:val="007B62EE"/>
    <w:rsid w:val="007B6D79"/>
    <w:rsid w:val="007B7152"/>
    <w:rsid w:val="007B7316"/>
    <w:rsid w:val="007B7B00"/>
    <w:rsid w:val="007C0F27"/>
    <w:rsid w:val="007C1147"/>
    <w:rsid w:val="007C1C77"/>
    <w:rsid w:val="007C1CA2"/>
    <w:rsid w:val="007C1F17"/>
    <w:rsid w:val="007C2431"/>
    <w:rsid w:val="007C2901"/>
    <w:rsid w:val="007C3C1B"/>
    <w:rsid w:val="007C3F49"/>
    <w:rsid w:val="007C40B5"/>
    <w:rsid w:val="007C459F"/>
    <w:rsid w:val="007C494B"/>
    <w:rsid w:val="007C5A91"/>
    <w:rsid w:val="007C6C2F"/>
    <w:rsid w:val="007C785B"/>
    <w:rsid w:val="007C7DD5"/>
    <w:rsid w:val="007C7EBF"/>
    <w:rsid w:val="007D04CE"/>
    <w:rsid w:val="007D0AD3"/>
    <w:rsid w:val="007D0AFB"/>
    <w:rsid w:val="007D1B40"/>
    <w:rsid w:val="007D1DF0"/>
    <w:rsid w:val="007D1F44"/>
    <w:rsid w:val="007D3473"/>
    <w:rsid w:val="007D365E"/>
    <w:rsid w:val="007D3A6D"/>
    <w:rsid w:val="007D5992"/>
    <w:rsid w:val="007D59ED"/>
    <w:rsid w:val="007D65DC"/>
    <w:rsid w:val="007D6B4F"/>
    <w:rsid w:val="007D6E07"/>
    <w:rsid w:val="007D7E15"/>
    <w:rsid w:val="007D7E68"/>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6D9"/>
    <w:rsid w:val="007E49F3"/>
    <w:rsid w:val="007E4D19"/>
    <w:rsid w:val="007E549C"/>
    <w:rsid w:val="007E6FEE"/>
    <w:rsid w:val="007E7D66"/>
    <w:rsid w:val="007F0306"/>
    <w:rsid w:val="007F0A26"/>
    <w:rsid w:val="007F1820"/>
    <w:rsid w:val="007F2337"/>
    <w:rsid w:val="007F2E50"/>
    <w:rsid w:val="007F34DA"/>
    <w:rsid w:val="007F38EB"/>
    <w:rsid w:val="007F3ECB"/>
    <w:rsid w:val="007F4750"/>
    <w:rsid w:val="007F493D"/>
    <w:rsid w:val="007F52FB"/>
    <w:rsid w:val="007F5FF7"/>
    <w:rsid w:val="007F6336"/>
    <w:rsid w:val="007F6DDE"/>
    <w:rsid w:val="007F71CD"/>
    <w:rsid w:val="007F7D36"/>
    <w:rsid w:val="007F7F72"/>
    <w:rsid w:val="00800789"/>
    <w:rsid w:val="00800E01"/>
    <w:rsid w:val="008012AB"/>
    <w:rsid w:val="008016DA"/>
    <w:rsid w:val="008022F6"/>
    <w:rsid w:val="0080268B"/>
    <w:rsid w:val="00802891"/>
    <w:rsid w:val="00802E92"/>
    <w:rsid w:val="0080392D"/>
    <w:rsid w:val="00803BAC"/>
    <w:rsid w:val="00804C6F"/>
    <w:rsid w:val="00804D03"/>
    <w:rsid w:val="00804D12"/>
    <w:rsid w:val="008058D0"/>
    <w:rsid w:val="008059A1"/>
    <w:rsid w:val="00805F1B"/>
    <w:rsid w:val="008066B8"/>
    <w:rsid w:val="00807580"/>
    <w:rsid w:val="00807B0F"/>
    <w:rsid w:val="00810456"/>
    <w:rsid w:val="00811EFB"/>
    <w:rsid w:val="00813593"/>
    <w:rsid w:val="008135B4"/>
    <w:rsid w:val="00813A10"/>
    <w:rsid w:val="00813EC3"/>
    <w:rsid w:val="008143CD"/>
    <w:rsid w:val="00814B33"/>
    <w:rsid w:val="00814B54"/>
    <w:rsid w:val="00815209"/>
    <w:rsid w:val="00815833"/>
    <w:rsid w:val="00815C3C"/>
    <w:rsid w:val="00816887"/>
    <w:rsid w:val="0082009D"/>
    <w:rsid w:val="00820908"/>
    <w:rsid w:val="00820E63"/>
    <w:rsid w:val="008211A5"/>
    <w:rsid w:val="00821E74"/>
    <w:rsid w:val="00822229"/>
    <w:rsid w:val="00823AE5"/>
    <w:rsid w:val="00823DF1"/>
    <w:rsid w:val="008240D4"/>
    <w:rsid w:val="0082413F"/>
    <w:rsid w:val="00825050"/>
    <w:rsid w:val="0082535A"/>
    <w:rsid w:val="00825670"/>
    <w:rsid w:val="008259BB"/>
    <w:rsid w:val="00826CEF"/>
    <w:rsid w:val="00826E22"/>
    <w:rsid w:val="0082706A"/>
    <w:rsid w:val="008303A3"/>
    <w:rsid w:val="0083064A"/>
    <w:rsid w:val="008309F2"/>
    <w:rsid w:val="00830D47"/>
    <w:rsid w:val="008311B4"/>
    <w:rsid w:val="00831ABB"/>
    <w:rsid w:val="00832507"/>
    <w:rsid w:val="0083257C"/>
    <w:rsid w:val="008331CC"/>
    <w:rsid w:val="00833972"/>
    <w:rsid w:val="008340C6"/>
    <w:rsid w:val="00834652"/>
    <w:rsid w:val="00834737"/>
    <w:rsid w:val="0083477D"/>
    <w:rsid w:val="00834797"/>
    <w:rsid w:val="008348BB"/>
    <w:rsid w:val="00834F64"/>
    <w:rsid w:val="0083513E"/>
    <w:rsid w:val="00835652"/>
    <w:rsid w:val="00835654"/>
    <w:rsid w:val="00835A36"/>
    <w:rsid w:val="00835B28"/>
    <w:rsid w:val="00835B33"/>
    <w:rsid w:val="00835F2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935"/>
    <w:rsid w:val="00852D6E"/>
    <w:rsid w:val="0085407D"/>
    <w:rsid w:val="008544B8"/>
    <w:rsid w:val="008546A0"/>
    <w:rsid w:val="008549FD"/>
    <w:rsid w:val="00854D00"/>
    <w:rsid w:val="00855190"/>
    <w:rsid w:val="008554C2"/>
    <w:rsid w:val="008555AA"/>
    <w:rsid w:val="008556C3"/>
    <w:rsid w:val="00855741"/>
    <w:rsid w:val="00855AFE"/>
    <w:rsid w:val="00856345"/>
    <w:rsid w:val="00856599"/>
    <w:rsid w:val="00857054"/>
    <w:rsid w:val="00857351"/>
    <w:rsid w:val="008573F8"/>
    <w:rsid w:val="008575EF"/>
    <w:rsid w:val="0085793F"/>
    <w:rsid w:val="00857A3A"/>
    <w:rsid w:val="008603B1"/>
    <w:rsid w:val="00860556"/>
    <w:rsid w:val="00861CA7"/>
    <w:rsid w:val="00861FB5"/>
    <w:rsid w:val="00862B6C"/>
    <w:rsid w:val="00863B17"/>
    <w:rsid w:val="00864AD9"/>
    <w:rsid w:val="00864DAD"/>
    <w:rsid w:val="00864FBE"/>
    <w:rsid w:val="0086504D"/>
    <w:rsid w:val="008655F4"/>
    <w:rsid w:val="00865985"/>
    <w:rsid w:val="00865AC0"/>
    <w:rsid w:val="008664B6"/>
    <w:rsid w:val="00866C51"/>
    <w:rsid w:val="00866D30"/>
    <w:rsid w:val="00867D35"/>
    <w:rsid w:val="008701B6"/>
    <w:rsid w:val="0087083E"/>
    <w:rsid w:val="00870B63"/>
    <w:rsid w:val="00870D91"/>
    <w:rsid w:val="00871109"/>
    <w:rsid w:val="00871150"/>
    <w:rsid w:val="008718C0"/>
    <w:rsid w:val="008719D7"/>
    <w:rsid w:val="00871D77"/>
    <w:rsid w:val="00872360"/>
    <w:rsid w:val="00872D84"/>
    <w:rsid w:val="008739DB"/>
    <w:rsid w:val="008743E1"/>
    <w:rsid w:val="00874C17"/>
    <w:rsid w:val="008750E7"/>
    <w:rsid w:val="00875ABD"/>
    <w:rsid w:val="00875CAB"/>
    <w:rsid w:val="00876CED"/>
    <w:rsid w:val="00880030"/>
    <w:rsid w:val="00882477"/>
    <w:rsid w:val="0088352B"/>
    <w:rsid w:val="00883629"/>
    <w:rsid w:val="00884D5B"/>
    <w:rsid w:val="00885388"/>
    <w:rsid w:val="008859FE"/>
    <w:rsid w:val="00885D93"/>
    <w:rsid w:val="00885F0B"/>
    <w:rsid w:val="00886238"/>
    <w:rsid w:val="00886423"/>
    <w:rsid w:val="00886603"/>
    <w:rsid w:val="008866E3"/>
    <w:rsid w:val="008867D7"/>
    <w:rsid w:val="008871DC"/>
    <w:rsid w:val="0089075A"/>
    <w:rsid w:val="0089104A"/>
    <w:rsid w:val="00891B62"/>
    <w:rsid w:val="008924C7"/>
    <w:rsid w:val="008929F8"/>
    <w:rsid w:val="00892C26"/>
    <w:rsid w:val="00893019"/>
    <w:rsid w:val="00893082"/>
    <w:rsid w:val="008934D2"/>
    <w:rsid w:val="008936F8"/>
    <w:rsid w:val="0089391A"/>
    <w:rsid w:val="00893E8C"/>
    <w:rsid w:val="008943F0"/>
    <w:rsid w:val="00894F90"/>
    <w:rsid w:val="00894FA4"/>
    <w:rsid w:val="00895440"/>
    <w:rsid w:val="00896150"/>
    <w:rsid w:val="00896312"/>
    <w:rsid w:val="00896C6F"/>
    <w:rsid w:val="00897C56"/>
    <w:rsid w:val="008A0F76"/>
    <w:rsid w:val="008A0FB9"/>
    <w:rsid w:val="008A1341"/>
    <w:rsid w:val="008A13EE"/>
    <w:rsid w:val="008A17B8"/>
    <w:rsid w:val="008A207F"/>
    <w:rsid w:val="008A26BB"/>
    <w:rsid w:val="008A2FEE"/>
    <w:rsid w:val="008A3542"/>
    <w:rsid w:val="008A3859"/>
    <w:rsid w:val="008A395E"/>
    <w:rsid w:val="008A3D65"/>
    <w:rsid w:val="008A477A"/>
    <w:rsid w:val="008A4C96"/>
    <w:rsid w:val="008A55FB"/>
    <w:rsid w:val="008A5BAB"/>
    <w:rsid w:val="008A6385"/>
    <w:rsid w:val="008A67F1"/>
    <w:rsid w:val="008A724F"/>
    <w:rsid w:val="008A7358"/>
    <w:rsid w:val="008B00AF"/>
    <w:rsid w:val="008B045A"/>
    <w:rsid w:val="008B25A6"/>
    <w:rsid w:val="008B3704"/>
    <w:rsid w:val="008B3B96"/>
    <w:rsid w:val="008B4119"/>
    <w:rsid w:val="008B435C"/>
    <w:rsid w:val="008B4E67"/>
    <w:rsid w:val="008B5EAF"/>
    <w:rsid w:val="008B65FA"/>
    <w:rsid w:val="008B7096"/>
    <w:rsid w:val="008B7706"/>
    <w:rsid w:val="008B795C"/>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5F0A"/>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2EA"/>
    <w:rsid w:val="008E23DB"/>
    <w:rsid w:val="008E25C6"/>
    <w:rsid w:val="008E28C0"/>
    <w:rsid w:val="008E36BE"/>
    <w:rsid w:val="008E37E4"/>
    <w:rsid w:val="008E4270"/>
    <w:rsid w:val="008E4433"/>
    <w:rsid w:val="008E4538"/>
    <w:rsid w:val="008E54AD"/>
    <w:rsid w:val="008E5A75"/>
    <w:rsid w:val="008E5CF3"/>
    <w:rsid w:val="008E622D"/>
    <w:rsid w:val="008E7366"/>
    <w:rsid w:val="008E7E80"/>
    <w:rsid w:val="008F0B9B"/>
    <w:rsid w:val="008F0CB7"/>
    <w:rsid w:val="008F1FCD"/>
    <w:rsid w:val="008F240C"/>
    <w:rsid w:val="008F3109"/>
    <w:rsid w:val="008F3946"/>
    <w:rsid w:val="008F3DAF"/>
    <w:rsid w:val="008F3EBA"/>
    <w:rsid w:val="008F4065"/>
    <w:rsid w:val="008F47F8"/>
    <w:rsid w:val="008F4939"/>
    <w:rsid w:val="008F515D"/>
    <w:rsid w:val="008F5577"/>
    <w:rsid w:val="008F55FE"/>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265"/>
    <w:rsid w:val="00903C2A"/>
    <w:rsid w:val="00903EB5"/>
    <w:rsid w:val="009040E4"/>
    <w:rsid w:val="00904981"/>
    <w:rsid w:val="0090554A"/>
    <w:rsid w:val="00905DFE"/>
    <w:rsid w:val="009060E0"/>
    <w:rsid w:val="009062D0"/>
    <w:rsid w:val="00906A0F"/>
    <w:rsid w:val="00906FA6"/>
    <w:rsid w:val="009072E5"/>
    <w:rsid w:val="00910812"/>
    <w:rsid w:val="00910B7C"/>
    <w:rsid w:val="009116C9"/>
    <w:rsid w:val="009117FF"/>
    <w:rsid w:val="00911C5C"/>
    <w:rsid w:val="00912105"/>
    <w:rsid w:val="00913581"/>
    <w:rsid w:val="00913C0F"/>
    <w:rsid w:val="00914434"/>
    <w:rsid w:val="00914FC8"/>
    <w:rsid w:val="00915F01"/>
    <w:rsid w:val="009160C2"/>
    <w:rsid w:val="00916DB1"/>
    <w:rsid w:val="00916DF1"/>
    <w:rsid w:val="00917542"/>
    <w:rsid w:val="00917714"/>
    <w:rsid w:val="009177A5"/>
    <w:rsid w:val="00917D0E"/>
    <w:rsid w:val="00920804"/>
    <w:rsid w:val="0092080A"/>
    <w:rsid w:val="00921365"/>
    <w:rsid w:val="00921716"/>
    <w:rsid w:val="009217BB"/>
    <w:rsid w:val="00922147"/>
    <w:rsid w:val="009221CA"/>
    <w:rsid w:val="00922815"/>
    <w:rsid w:val="00922D08"/>
    <w:rsid w:val="00922D6E"/>
    <w:rsid w:val="00922DA3"/>
    <w:rsid w:val="00923008"/>
    <w:rsid w:val="00923018"/>
    <w:rsid w:val="00923764"/>
    <w:rsid w:val="00924049"/>
    <w:rsid w:val="00924053"/>
    <w:rsid w:val="00924B4F"/>
    <w:rsid w:val="00924B95"/>
    <w:rsid w:val="00924CC3"/>
    <w:rsid w:val="00925188"/>
    <w:rsid w:val="00925975"/>
    <w:rsid w:val="009269F2"/>
    <w:rsid w:val="0092712A"/>
    <w:rsid w:val="00927E2B"/>
    <w:rsid w:val="009300D3"/>
    <w:rsid w:val="009300EF"/>
    <w:rsid w:val="00930134"/>
    <w:rsid w:val="009308A2"/>
    <w:rsid w:val="00930957"/>
    <w:rsid w:val="0093100E"/>
    <w:rsid w:val="00932A3B"/>
    <w:rsid w:val="00932DD1"/>
    <w:rsid w:val="00934212"/>
    <w:rsid w:val="00934469"/>
    <w:rsid w:val="00934615"/>
    <w:rsid w:val="00935228"/>
    <w:rsid w:val="00935826"/>
    <w:rsid w:val="009370EC"/>
    <w:rsid w:val="009373D6"/>
    <w:rsid w:val="009400E2"/>
    <w:rsid w:val="009407B5"/>
    <w:rsid w:val="009409FA"/>
    <w:rsid w:val="00940CBE"/>
    <w:rsid w:val="00940F1F"/>
    <w:rsid w:val="0094290E"/>
    <w:rsid w:val="00942E3A"/>
    <w:rsid w:val="00943150"/>
    <w:rsid w:val="009433BE"/>
    <w:rsid w:val="00943D03"/>
    <w:rsid w:val="00944512"/>
    <w:rsid w:val="009447E4"/>
    <w:rsid w:val="009448C5"/>
    <w:rsid w:val="00945514"/>
    <w:rsid w:val="00945F0F"/>
    <w:rsid w:val="0094657D"/>
    <w:rsid w:val="00946AA5"/>
    <w:rsid w:val="00946BF2"/>
    <w:rsid w:val="009474B5"/>
    <w:rsid w:val="00950696"/>
    <w:rsid w:val="009506E1"/>
    <w:rsid w:val="00950DCB"/>
    <w:rsid w:val="00950ECE"/>
    <w:rsid w:val="009516DA"/>
    <w:rsid w:val="00951812"/>
    <w:rsid w:val="00951B48"/>
    <w:rsid w:val="00952C13"/>
    <w:rsid w:val="009536A8"/>
    <w:rsid w:val="00953994"/>
    <w:rsid w:val="00953F92"/>
    <w:rsid w:val="00954053"/>
    <w:rsid w:val="009544FA"/>
    <w:rsid w:val="00954A47"/>
    <w:rsid w:val="009558EA"/>
    <w:rsid w:val="0095666A"/>
    <w:rsid w:val="00956712"/>
    <w:rsid w:val="00956CF8"/>
    <w:rsid w:val="00957486"/>
    <w:rsid w:val="00957883"/>
    <w:rsid w:val="0095793E"/>
    <w:rsid w:val="00957BDC"/>
    <w:rsid w:val="00957C47"/>
    <w:rsid w:val="00957CAE"/>
    <w:rsid w:val="00957D39"/>
    <w:rsid w:val="00960116"/>
    <w:rsid w:val="00960A5A"/>
    <w:rsid w:val="00960CAF"/>
    <w:rsid w:val="00961050"/>
    <w:rsid w:val="009614FB"/>
    <w:rsid w:val="0096220C"/>
    <w:rsid w:val="00962B1A"/>
    <w:rsid w:val="00963054"/>
    <w:rsid w:val="00963BBE"/>
    <w:rsid w:val="009641A1"/>
    <w:rsid w:val="009641B5"/>
    <w:rsid w:val="009644C3"/>
    <w:rsid w:val="009660D5"/>
    <w:rsid w:val="0096644E"/>
    <w:rsid w:val="00966EBB"/>
    <w:rsid w:val="009677B2"/>
    <w:rsid w:val="00967FBB"/>
    <w:rsid w:val="00970462"/>
    <w:rsid w:val="00970802"/>
    <w:rsid w:val="00970E22"/>
    <w:rsid w:val="00970EB2"/>
    <w:rsid w:val="00971381"/>
    <w:rsid w:val="00971586"/>
    <w:rsid w:val="009719B5"/>
    <w:rsid w:val="00971A32"/>
    <w:rsid w:val="00973387"/>
    <w:rsid w:val="009735C3"/>
    <w:rsid w:val="00973656"/>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5607"/>
    <w:rsid w:val="00985903"/>
    <w:rsid w:val="00985C00"/>
    <w:rsid w:val="00985EBA"/>
    <w:rsid w:val="0098625F"/>
    <w:rsid w:val="00986439"/>
    <w:rsid w:val="00987471"/>
    <w:rsid w:val="009876E2"/>
    <w:rsid w:val="00987AC4"/>
    <w:rsid w:val="00990790"/>
    <w:rsid w:val="0099090C"/>
    <w:rsid w:val="0099098C"/>
    <w:rsid w:val="00990D5F"/>
    <w:rsid w:val="009917FD"/>
    <w:rsid w:val="00991B41"/>
    <w:rsid w:val="0099214A"/>
    <w:rsid w:val="00992814"/>
    <w:rsid w:val="009929D4"/>
    <w:rsid w:val="00992C0C"/>
    <w:rsid w:val="009931F4"/>
    <w:rsid w:val="0099369E"/>
    <w:rsid w:val="00993A07"/>
    <w:rsid w:val="0099429F"/>
    <w:rsid w:val="00994768"/>
    <w:rsid w:val="00994A4D"/>
    <w:rsid w:val="00994BB9"/>
    <w:rsid w:val="00994D7E"/>
    <w:rsid w:val="00995206"/>
    <w:rsid w:val="009956DC"/>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0F8"/>
    <w:rsid w:val="009A6C1B"/>
    <w:rsid w:val="009A7205"/>
    <w:rsid w:val="009A7830"/>
    <w:rsid w:val="009A7E67"/>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2FF"/>
    <w:rsid w:val="009B69F2"/>
    <w:rsid w:val="009B6B95"/>
    <w:rsid w:val="009C07D4"/>
    <w:rsid w:val="009C1154"/>
    <w:rsid w:val="009C1305"/>
    <w:rsid w:val="009C15A0"/>
    <w:rsid w:val="009C1D1E"/>
    <w:rsid w:val="009C1E91"/>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7BF"/>
    <w:rsid w:val="009C6F83"/>
    <w:rsid w:val="009C70FA"/>
    <w:rsid w:val="009C739A"/>
    <w:rsid w:val="009D0181"/>
    <w:rsid w:val="009D01DB"/>
    <w:rsid w:val="009D0EF7"/>
    <w:rsid w:val="009D1319"/>
    <w:rsid w:val="009D1694"/>
    <w:rsid w:val="009D2048"/>
    <w:rsid w:val="009D2303"/>
    <w:rsid w:val="009D2C12"/>
    <w:rsid w:val="009D2CAB"/>
    <w:rsid w:val="009D4494"/>
    <w:rsid w:val="009D5163"/>
    <w:rsid w:val="009D5B30"/>
    <w:rsid w:val="009D5D3B"/>
    <w:rsid w:val="009D5EDD"/>
    <w:rsid w:val="009D6D92"/>
    <w:rsid w:val="009D7203"/>
    <w:rsid w:val="009E0487"/>
    <w:rsid w:val="009E2541"/>
    <w:rsid w:val="009E2734"/>
    <w:rsid w:val="009E28A2"/>
    <w:rsid w:val="009E2949"/>
    <w:rsid w:val="009E29BD"/>
    <w:rsid w:val="009E2A6E"/>
    <w:rsid w:val="009E3033"/>
    <w:rsid w:val="009E44F7"/>
    <w:rsid w:val="009E4AE7"/>
    <w:rsid w:val="009E56AC"/>
    <w:rsid w:val="009E63A7"/>
    <w:rsid w:val="009E6864"/>
    <w:rsid w:val="009E7918"/>
    <w:rsid w:val="009E7E0B"/>
    <w:rsid w:val="009E7F67"/>
    <w:rsid w:val="009F132C"/>
    <w:rsid w:val="009F154A"/>
    <w:rsid w:val="009F15F8"/>
    <w:rsid w:val="009F27E3"/>
    <w:rsid w:val="009F286A"/>
    <w:rsid w:val="009F2AB3"/>
    <w:rsid w:val="009F2EB6"/>
    <w:rsid w:val="009F310E"/>
    <w:rsid w:val="009F4FB6"/>
    <w:rsid w:val="009F52C9"/>
    <w:rsid w:val="009F53C8"/>
    <w:rsid w:val="009F5A78"/>
    <w:rsid w:val="009F5B70"/>
    <w:rsid w:val="009F5BD6"/>
    <w:rsid w:val="009F5C86"/>
    <w:rsid w:val="009F5F6C"/>
    <w:rsid w:val="009F6547"/>
    <w:rsid w:val="009F716C"/>
    <w:rsid w:val="009F721C"/>
    <w:rsid w:val="009F7379"/>
    <w:rsid w:val="009F7D41"/>
    <w:rsid w:val="00A01145"/>
    <w:rsid w:val="00A0164E"/>
    <w:rsid w:val="00A01855"/>
    <w:rsid w:val="00A01B32"/>
    <w:rsid w:val="00A01DA6"/>
    <w:rsid w:val="00A020D0"/>
    <w:rsid w:val="00A02660"/>
    <w:rsid w:val="00A02783"/>
    <w:rsid w:val="00A02A2D"/>
    <w:rsid w:val="00A02FA1"/>
    <w:rsid w:val="00A03166"/>
    <w:rsid w:val="00A03648"/>
    <w:rsid w:val="00A03760"/>
    <w:rsid w:val="00A03FA0"/>
    <w:rsid w:val="00A04A0B"/>
    <w:rsid w:val="00A058A7"/>
    <w:rsid w:val="00A06591"/>
    <w:rsid w:val="00A065A7"/>
    <w:rsid w:val="00A072F7"/>
    <w:rsid w:val="00A074CD"/>
    <w:rsid w:val="00A0767C"/>
    <w:rsid w:val="00A0770C"/>
    <w:rsid w:val="00A0782A"/>
    <w:rsid w:val="00A1009D"/>
    <w:rsid w:val="00A1068F"/>
    <w:rsid w:val="00A10E6B"/>
    <w:rsid w:val="00A1112E"/>
    <w:rsid w:val="00A112ED"/>
    <w:rsid w:val="00A113B3"/>
    <w:rsid w:val="00A1162C"/>
    <w:rsid w:val="00A11A31"/>
    <w:rsid w:val="00A125EA"/>
    <w:rsid w:val="00A12621"/>
    <w:rsid w:val="00A1297B"/>
    <w:rsid w:val="00A13293"/>
    <w:rsid w:val="00A13A7E"/>
    <w:rsid w:val="00A13B5F"/>
    <w:rsid w:val="00A13E4F"/>
    <w:rsid w:val="00A14561"/>
    <w:rsid w:val="00A1483D"/>
    <w:rsid w:val="00A149B5"/>
    <w:rsid w:val="00A14C09"/>
    <w:rsid w:val="00A160E4"/>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1FF3"/>
    <w:rsid w:val="00A33571"/>
    <w:rsid w:val="00A338E1"/>
    <w:rsid w:val="00A34413"/>
    <w:rsid w:val="00A344C1"/>
    <w:rsid w:val="00A34E96"/>
    <w:rsid w:val="00A35C0F"/>
    <w:rsid w:val="00A36461"/>
    <w:rsid w:val="00A36484"/>
    <w:rsid w:val="00A36491"/>
    <w:rsid w:val="00A3734B"/>
    <w:rsid w:val="00A37759"/>
    <w:rsid w:val="00A37BF6"/>
    <w:rsid w:val="00A37E8C"/>
    <w:rsid w:val="00A40FBC"/>
    <w:rsid w:val="00A410D0"/>
    <w:rsid w:val="00A425AF"/>
    <w:rsid w:val="00A4262C"/>
    <w:rsid w:val="00A428BB"/>
    <w:rsid w:val="00A42A3F"/>
    <w:rsid w:val="00A42B89"/>
    <w:rsid w:val="00A436F1"/>
    <w:rsid w:val="00A439D7"/>
    <w:rsid w:val="00A446A8"/>
    <w:rsid w:val="00A44741"/>
    <w:rsid w:val="00A451C6"/>
    <w:rsid w:val="00A463AF"/>
    <w:rsid w:val="00A46A53"/>
    <w:rsid w:val="00A46E26"/>
    <w:rsid w:val="00A47586"/>
    <w:rsid w:val="00A47A22"/>
    <w:rsid w:val="00A47EC7"/>
    <w:rsid w:val="00A513FE"/>
    <w:rsid w:val="00A51700"/>
    <w:rsid w:val="00A51DC9"/>
    <w:rsid w:val="00A51EE1"/>
    <w:rsid w:val="00A52F90"/>
    <w:rsid w:val="00A535F5"/>
    <w:rsid w:val="00A5453C"/>
    <w:rsid w:val="00A54A14"/>
    <w:rsid w:val="00A54AD0"/>
    <w:rsid w:val="00A54F49"/>
    <w:rsid w:val="00A552E7"/>
    <w:rsid w:val="00A55374"/>
    <w:rsid w:val="00A558FA"/>
    <w:rsid w:val="00A56D20"/>
    <w:rsid w:val="00A5787C"/>
    <w:rsid w:val="00A57E21"/>
    <w:rsid w:val="00A57EBA"/>
    <w:rsid w:val="00A605C5"/>
    <w:rsid w:val="00A607D5"/>
    <w:rsid w:val="00A60AE6"/>
    <w:rsid w:val="00A6128B"/>
    <w:rsid w:val="00A61337"/>
    <w:rsid w:val="00A6232A"/>
    <w:rsid w:val="00A62619"/>
    <w:rsid w:val="00A62BF2"/>
    <w:rsid w:val="00A63CD2"/>
    <w:rsid w:val="00A63FCF"/>
    <w:rsid w:val="00A646AD"/>
    <w:rsid w:val="00A64ABA"/>
    <w:rsid w:val="00A64C35"/>
    <w:rsid w:val="00A655CB"/>
    <w:rsid w:val="00A65E6C"/>
    <w:rsid w:val="00A666D9"/>
    <w:rsid w:val="00A6681C"/>
    <w:rsid w:val="00A673E9"/>
    <w:rsid w:val="00A67E74"/>
    <w:rsid w:val="00A67FD4"/>
    <w:rsid w:val="00A70C0E"/>
    <w:rsid w:val="00A71237"/>
    <w:rsid w:val="00A71619"/>
    <w:rsid w:val="00A719F1"/>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AAF"/>
    <w:rsid w:val="00A80EA3"/>
    <w:rsid w:val="00A817D0"/>
    <w:rsid w:val="00A82E7F"/>
    <w:rsid w:val="00A8316F"/>
    <w:rsid w:val="00A83B12"/>
    <w:rsid w:val="00A83CB3"/>
    <w:rsid w:val="00A8483D"/>
    <w:rsid w:val="00A84AE9"/>
    <w:rsid w:val="00A85975"/>
    <w:rsid w:val="00A863AA"/>
    <w:rsid w:val="00A86476"/>
    <w:rsid w:val="00A87064"/>
    <w:rsid w:val="00A87911"/>
    <w:rsid w:val="00A879EC"/>
    <w:rsid w:val="00A87DB2"/>
    <w:rsid w:val="00A90183"/>
    <w:rsid w:val="00A90E19"/>
    <w:rsid w:val="00A917BC"/>
    <w:rsid w:val="00A91918"/>
    <w:rsid w:val="00A9198A"/>
    <w:rsid w:val="00A91BCE"/>
    <w:rsid w:val="00A91FD6"/>
    <w:rsid w:val="00A9263E"/>
    <w:rsid w:val="00A926CB"/>
    <w:rsid w:val="00A92932"/>
    <w:rsid w:val="00A92C85"/>
    <w:rsid w:val="00A92D99"/>
    <w:rsid w:val="00A9377A"/>
    <w:rsid w:val="00A93A9C"/>
    <w:rsid w:val="00A93AAF"/>
    <w:rsid w:val="00A93FB6"/>
    <w:rsid w:val="00A94628"/>
    <w:rsid w:val="00A946AF"/>
    <w:rsid w:val="00A948FF"/>
    <w:rsid w:val="00A9491A"/>
    <w:rsid w:val="00A94C5A"/>
    <w:rsid w:val="00A94F4B"/>
    <w:rsid w:val="00A954E9"/>
    <w:rsid w:val="00A9592F"/>
    <w:rsid w:val="00A9686B"/>
    <w:rsid w:val="00A96FE6"/>
    <w:rsid w:val="00A97F96"/>
    <w:rsid w:val="00AA0201"/>
    <w:rsid w:val="00AA09A4"/>
    <w:rsid w:val="00AA150F"/>
    <w:rsid w:val="00AA172A"/>
    <w:rsid w:val="00AA1CD7"/>
    <w:rsid w:val="00AA1F2B"/>
    <w:rsid w:val="00AA28A0"/>
    <w:rsid w:val="00AA2B29"/>
    <w:rsid w:val="00AA2BC8"/>
    <w:rsid w:val="00AA3027"/>
    <w:rsid w:val="00AA3D1E"/>
    <w:rsid w:val="00AA404E"/>
    <w:rsid w:val="00AA476A"/>
    <w:rsid w:val="00AA590E"/>
    <w:rsid w:val="00AA5B90"/>
    <w:rsid w:val="00AA61BB"/>
    <w:rsid w:val="00AA68D6"/>
    <w:rsid w:val="00AA6966"/>
    <w:rsid w:val="00AA7E70"/>
    <w:rsid w:val="00AB1B30"/>
    <w:rsid w:val="00AB1CBA"/>
    <w:rsid w:val="00AB1CCB"/>
    <w:rsid w:val="00AB26F1"/>
    <w:rsid w:val="00AB2A07"/>
    <w:rsid w:val="00AB2BE1"/>
    <w:rsid w:val="00AB2F17"/>
    <w:rsid w:val="00AB3280"/>
    <w:rsid w:val="00AB355F"/>
    <w:rsid w:val="00AB3AC1"/>
    <w:rsid w:val="00AB3BD4"/>
    <w:rsid w:val="00AB463C"/>
    <w:rsid w:val="00AB4AEA"/>
    <w:rsid w:val="00AB4AEF"/>
    <w:rsid w:val="00AB4CE0"/>
    <w:rsid w:val="00AB6D56"/>
    <w:rsid w:val="00AB771F"/>
    <w:rsid w:val="00AB7FD1"/>
    <w:rsid w:val="00AC0E7B"/>
    <w:rsid w:val="00AC186C"/>
    <w:rsid w:val="00AC1D4B"/>
    <w:rsid w:val="00AC2AD0"/>
    <w:rsid w:val="00AC2C14"/>
    <w:rsid w:val="00AC2C1C"/>
    <w:rsid w:val="00AC2F6A"/>
    <w:rsid w:val="00AC336F"/>
    <w:rsid w:val="00AC3672"/>
    <w:rsid w:val="00AC3987"/>
    <w:rsid w:val="00AC4163"/>
    <w:rsid w:val="00AC41AC"/>
    <w:rsid w:val="00AC4D90"/>
    <w:rsid w:val="00AC69C3"/>
    <w:rsid w:val="00AC6CA9"/>
    <w:rsid w:val="00AC6FEC"/>
    <w:rsid w:val="00AC714A"/>
    <w:rsid w:val="00AC7433"/>
    <w:rsid w:val="00AC74D7"/>
    <w:rsid w:val="00AC7546"/>
    <w:rsid w:val="00AD01C6"/>
    <w:rsid w:val="00AD046A"/>
    <w:rsid w:val="00AD0DA5"/>
    <w:rsid w:val="00AD11A1"/>
    <w:rsid w:val="00AD1AC8"/>
    <w:rsid w:val="00AD2982"/>
    <w:rsid w:val="00AD299F"/>
    <w:rsid w:val="00AD3FEA"/>
    <w:rsid w:val="00AD44B5"/>
    <w:rsid w:val="00AD45E2"/>
    <w:rsid w:val="00AD5135"/>
    <w:rsid w:val="00AD61CD"/>
    <w:rsid w:val="00AD62CC"/>
    <w:rsid w:val="00AD660D"/>
    <w:rsid w:val="00AD69C2"/>
    <w:rsid w:val="00AD7DD6"/>
    <w:rsid w:val="00AE012D"/>
    <w:rsid w:val="00AE0846"/>
    <w:rsid w:val="00AE0FBE"/>
    <w:rsid w:val="00AE189C"/>
    <w:rsid w:val="00AE239B"/>
    <w:rsid w:val="00AE2506"/>
    <w:rsid w:val="00AE298E"/>
    <w:rsid w:val="00AE2B1F"/>
    <w:rsid w:val="00AE2C29"/>
    <w:rsid w:val="00AE2E10"/>
    <w:rsid w:val="00AE3C9D"/>
    <w:rsid w:val="00AE5068"/>
    <w:rsid w:val="00AE5C0B"/>
    <w:rsid w:val="00AE5FD2"/>
    <w:rsid w:val="00AE669F"/>
    <w:rsid w:val="00AE711B"/>
    <w:rsid w:val="00AF0315"/>
    <w:rsid w:val="00AF0CC5"/>
    <w:rsid w:val="00AF1320"/>
    <w:rsid w:val="00AF18C4"/>
    <w:rsid w:val="00AF1A52"/>
    <w:rsid w:val="00AF1BE9"/>
    <w:rsid w:val="00AF1FB0"/>
    <w:rsid w:val="00AF2AFC"/>
    <w:rsid w:val="00AF3082"/>
    <w:rsid w:val="00AF3BF8"/>
    <w:rsid w:val="00AF41F4"/>
    <w:rsid w:val="00AF42C0"/>
    <w:rsid w:val="00AF42DA"/>
    <w:rsid w:val="00AF4965"/>
    <w:rsid w:val="00AF550A"/>
    <w:rsid w:val="00AF6683"/>
    <w:rsid w:val="00AF751F"/>
    <w:rsid w:val="00AF7A6A"/>
    <w:rsid w:val="00B0059F"/>
    <w:rsid w:val="00B00833"/>
    <w:rsid w:val="00B00F4A"/>
    <w:rsid w:val="00B0220B"/>
    <w:rsid w:val="00B02698"/>
    <w:rsid w:val="00B0276E"/>
    <w:rsid w:val="00B0297E"/>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6A8"/>
    <w:rsid w:val="00B11731"/>
    <w:rsid w:val="00B11B61"/>
    <w:rsid w:val="00B11C19"/>
    <w:rsid w:val="00B1210E"/>
    <w:rsid w:val="00B12526"/>
    <w:rsid w:val="00B12948"/>
    <w:rsid w:val="00B12D6D"/>
    <w:rsid w:val="00B12DB3"/>
    <w:rsid w:val="00B12ECE"/>
    <w:rsid w:val="00B1326B"/>
    <w:rsid w:val="00B1334C"/>
    <w:rsid w:val="00B133D9"/>
    <w:rsid w:val="00B136ED"/>
    <w:rsid w:val="00B139E5"/>
    <w:rsid w:val="00B14392"/>
    <w:rsid w:val="00B146C8"/>
    <w:rsid w:val="00B15437"/>
    <w:rsid w:val="00B15BF9"/>
    <w:rsid w:val="00B15DBC"/>
    <w:rsid w:val="00B163C2"/>
    <w:rsid w:val="00B164BB"/>
    <w:rsid w:val="00B166DF"/>
    <w:rsid w:val="00B16C8D"/>
    <w:rsid w:val="00B17B19"/>
    <w:rsid w:val="00B20084"/>
    <w:rsid w:val="00B209A4"/>
    <w:rsid w:val="00B20E65"/>
    <w:rsid w:val="00B21127"/>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331"/>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DFE"/>
    <w:rsid w:val="00B47F45"/>
    <w:rsid w:val="00B50BCC"/>
    <w:rsid w:val="00B50CBD"/>
    <w:rsid w:val="00B50D10"/>
    <w:rsid w:val="00B50F1B"/>
    <w:rsid w:val="00B510DC"/>
    <w:rsid w:val="00B5166E"/>
    <w:rsid w:val="00B52139"/>
    <w:rsid w:val="00B5255B"/>
    <w:rsid w:val="00B52E37"/>
    <w:rsid w:val="00B537BB"/>
    <w:rsid w:val="00B55B60"/>
    <w:rsid w:val="00B55D30"/>
    <w:rsid w:val="00B569A6"/>
    <w:rsid w:val="00B56D3A"/>
    <w:rsid w:val="00B613A9"/>
    <w:rsid w:val="00B61F7E"/>
    <w:rsid w:val="00B6238F"/>
    <w:rsid w:val="00B625B5"/>
    <w:rsid w:val="00B637CB"/>
    <w:rsid w:val="00B637DD"/>
    <w:rsid w:val="00B64825"/>
    <w:rsid w:val="00B65F44"/>
    <w:rsid w:val="00B66182"/>
    <w:rsid w:val="00B6640B"/>
    <w:rsid w:val="00B66555"/>
    <w:rsid w:val="00B66DF6"/>
    <w:rsid w:val="00B67CC2"/>
    <w:rsid w:val="00B67FC9"/>
    <w:rsid w:val="00B70751"/>
    <w:rsid w:val="00B70AFF"/>
    <w:rsid w:val="00B71ABF"/>
    <w:rsid w:val="00B72546"/>
    <w:rsid w:val="00B72712"/>
    <w:rsid w:val="00B727CF"/>
    <w:rsid w:val="00B735D5"/>
    <w:rsid w:val="00B73E4D"/>
    <w:rsid w:val="00B7416C"/>
    <w:rsid w:val="00B742A7"/>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E7F"/>
    <w:rsid w:val="00B81F86"/>
    <w:rsid w:val="00B82C14"/>
    <w:rsid w:val="00B82E94"/>
    <w:rsid w:val="00B82FE3"/>
    <w:rsid w:val="00B8372E"/>
    <w:rsid w:val="00B83FE2"/>
    <w:rsid w:val="00B840C5"/>
    <w:rsid w:val="00B858F8"/>
    <w:rsid w:val="00B85A17"/>
    <w:rsid w:val="00B85CAA"/>
    <w:rsid w:val="00B86544"/>
    <w:rsid w:val="00B86641"/>
    <w:rsid w:val="00B870BD"/>
    <w:rsid w:val="00B87AA1"/>
    <w:rsid w:val="00B87E55"/>
    <w:rsid w:val="00B90842"/>
    <w:rsid w:val="00B908A8"/>
    <w:rsid w:val="00B909FE"/>
    <w:rsid w:val="00B90BFB"/>
    <w:rsid w:val="00B90FD9"/>
    <w:rsid w:val="00B91832"/>
    <w:rsid w:val="00B927C8"/>
    <w:rsid w:val="00B9290C"/>
    <w:rsid w:val="00B92D39"/>
    <w:rsid w:val="00B93AC0"/>
    <w:rsid w:val="00B94292"/>
    <w:rsid w:val="00B94637"/>
    <w:rsid w:val="00B9469E"/>
    <w:rsid w:val="00B94C9D"/>
    <w:rsid w:val="00B95638"/>
    <w:rsid w:val="00B95C0C"/>
    <w:rsid w:val="00B95D34"/>
    <w:rsid w:val="00B95F09"/>
    <w:rsid w:val="00B96424"/>
    <w:rsid w:val="00B967DF"/>
    <w:rsid w:val="00B97066"/>
    <w:rsid w:val="00B97A69"/>
    <w:rsid w:val="00BA00A9"/>
    <w:rsid w:val="00BA0157"/>
    <w:rsid w:val="00BA0A43"/>
    <w:rsid w:val="00BA0C7D"/>
    <w:rsid w:val="00BA0CC3"/>
    <w:rsid w:val="00BA13A4"/>
    <w:rsid w:val="00BA1424"/>
    <w:rsid w:val="00BA1569"/>
    <w:rsid w:val="00BA17D8"/>
    <w:rsid w:val="00BA18FF"/>
    <w:rsid w:val="00BA425F"/>
    <w:rsid w:val="00BA4367"/>
    <w:rsid w:val="00BA4678"/>
    <w:rsid w:val="00BA5650"/>
    <w:rsid w:val="00BA5E44"/>
    <w:rsid w:val="00BA6340"/>
    <w:rsid w:val="00BA74B7"/>
    <w:rsid w:val="00BA78BE"/>
    <w:rsid w:val="00BA7D35"/>
    <w:rsid w:val="00BA7E91"/>
    <w:rsid w:val="00BB0B15"/>
    <w:rsid w:val="00BB13E2"/>
    <w:rsid w:val="00BB14EA"/>
    <w:rsid w:val="00BB24F6"/>
    <w:rsid w:val="00BB27EC"/>
    <w:rsid w:val="00BB2BB0"/>
    <w:rsid w:val="00BB31A0"/>
    <w:rsid w:val="00BB372D"/>
    <w:rsid w:val="00BB3C30"/>
    <w:rsid w:val="00BB4158"/>
    <w:rsid w:val="00BB473D"/>
    <w:rsid w:val="00BB5731"/>
    <w:rsid w:val="00BB586F"/>
    <w:rsid w:val="00BB58A6"/>
    <w:rsid w:val="00BB5C8D"/>
    <w:rsid w:val="00BB5D41"/>
    <w:rsid w:val="00BB5F2F"/>
    <w:rsid w:val="00BB658B"/>
    <w:rsid w:val="00BB6B09"/>
    <w:rsid w:val="00BB72E7"/>
    <w:rsid w:val="00BB7445"/>
    <w:rsid w:val="00BC054A"/>
    <w:rsid w:val="00BC172E"/>
    <w:rsid w:val="00BC1A25"/>
    <w:rsid w:val="00BC31DE"/>
    <w:rsid w:val="00BC32D0"/>
    <w:rsid w:val="00BC3516"/>
    <w:rsid w:val="00BC3523"/>
    <w:rsid w:val="00BC419D"/>
    <w:rsid w:val="00BC43C4"/>
    <w:rsid w:val="00BC5544"/>
    <w:rsid w:val="00BC5E0D"/>
    <w:rsid w:val="00BC612A"/>
    <w:rsid w:val="00BC6243"/>
    <w:rsid w:val="00BC6567"/>
    <w:rsid w:val="00BC7295"/>
    <w:rsid w:val="00BC7661"/>
    <w:rsid w:val="00BC7E0D"/>
    <w:rsid w:val="00BD072D"/>
    <w:rsid w:val="00BD0EFC"/>
    <w:rsid w:val="00BD1543"/>
    <w:rsid w:val="00BD2559"/>
    <w:rsid w:val="00BD26B4"/>
    <w:rsid w:val="00BD283A"/>
    <w:rsid w:val="00BD2902"/>
    <w:rsid w:val="00BD3025"/>
    <w:rsid w:val="00BD3FCF"/>
    <w:rsid w:val="00BD42C7"/>
    <w:rsid w:val="00BD44E2"/>
    <w:rsid w:val="00BD53D3"/>
    <w:rsid w:val="00BD5CE5"/>
    <w:rsid w:val="00BD5D94"/>
    <w:rsid w:val="00BD604F"/>
    <w:rsid w:val="00BD639B"/>
    <w:rsid w:val="00BD7572"/>
    <w:rsid w:val="00BD782F"/>
    <w:rsid w:val="00BD78F0"/>
    <w:rsid w:val="00BD799A"/>
    <w:rsid w:val="00BE0B9B"/>
    <w:rsid w:val="00BE17E5"/>
    <w:rsid w:val="00BE2320"/>
    <w:rsid w:val="00BE2A08"/>
    <w:rsid w:val="00BE2AE2"/>
    <w:rsid w:val="00BE4BC9"/>
    <w:rsid w:val="00BE5DC5"/>
    <w:rsid w:val="00BE611F"/>
    <w:rsid w:val="00BE685E"/>
    <w:rsid w:val="00BE7361"/>
    <w:rsid w:val="00BE76F1"/>
    <w:rsid w:val="00BE7912"/>
    <w:rsid w:val="00BE7ECD"/>
    <w:rsid w:val="00BF0551"/>
    <w:rsid w:val="00BF0A9E"/>
    <w:rsid w:val="00BF17AA"/>
    <w:rsid w:val="00BF19B5"/>
    <w:rsid w:val="00BF1A16"/>
    <w:rsid w:val="00BF2219"/>
    <w:rsid w:val="00BF2473"/>
    <w:rsid w:val="00BF268D"/>
    <w:rsid w:val="00BF2807"/>
    <w:rsid w:val="00BF2892"/>
    <w:rsid w:val="00BF2E02"/>
    <w:rsid w:val="00BF30E2"/>
    <w:rsid w:val="00BF337B"/>
    <w:rsid w:val="00BF4257"/>
    <w:rsid w:val="00BF4449"/>
    <w:rsid w:val="00BF44A2"/>
    <w:rsid w:val="00BF4683"/>
    <w:rsid w:val="00BF4694"/>
    <w:rsid w:val="00BF489A"/>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3E6E"/>
    <w:rsid w:val="00C04CCF"/>
    <w:rsid w:val="00C05D73"/>
    <w:rsid w:val="00C05DBB"/>
    <w:rsid w:val="00C05E86"/>
    <w:rsid w:val="00C0630A"/>
    <w:rsid w:val="00C06681"/>
    <w:rsid w:val="00C066C1"/>
    <w:rsid w:val="00C06E3A"/>
    <w:rsid w:val="00C07AA3"/>
    <w:rsid w:val="00C10067"/>
    <w:rsid w:val="00C106E9"/>
    <w:rsid w:val="00C11670"/>
    <w:rsid w:val="00C1247E"/>
    <w:rsid w:val="00C129C6"/>
    <w:rsid w:val="00C133F9"/>
    <w:rsid w:val="00C13B5E"/>
    <w:rsid w:val="00C13E43"/>
    <w:rsid w:val="00C144F0"/>
    <w:rsid w:val="00C14FA2"/>
    <w:rsid w:val="00C15FD9"/>
    <w:rsid w:val="00C16267"/>
    <w:rsid w:val="00C1639A"/>
    <w:rsid w:val="00C1649F"/>
    <w:rsid w:val="00C16C0B"/>
    <w:rsid w:val="00C17B7F"/>
    <w:rsid w:val="00C20101"/>
    <w:rsid w:val="00C2035F"/>
    <w:rsid w:val="00C20483"/>
    <w:rsid w:val="00C20898"/>
    <w:rsid w:val="00C2100A"/>
    <w:rsid w:val="00C213BA"/>
    <w:rsid w:val="00C215BD"/>
    <w:rsid w:val="00C2180B"/>
    <w:rsid w:val="00C21FC7"/>
    <w:rsid w:val="00C222FF"/>
    <w:rsid w:val="00C23B34"/>
    <w:rsid w:val="00C23F8B"/>
    <w:rsid w:val="00C24952"/>
    <w:rsid w:val="00C24BCB"/>
    <w:rsid w:val="00C24DC1"/>
    <w:rsid w:val="00C2522B"/>
    <w:rsid w:val="00C25A16"/>
    <w:rsid w:val="00C2721F"/>
    <w:rsid w:val="00C27521"/>
    <w:rsid w:val="00C278D7"/>
    <w:rsid w:val="00C3003F"/>
    <w:rsid w:val="00C300E3"/>
    <w:rsid w:val="00C30B3C"/>
    <w:rsid w:val="00C30C99"/>
    <w:rsid w:val="00C31387"/>
    <w:rsid w:val="00C31760"/>
    <w:rsid w:val="00C31833"/>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37"/>
    <w:rsid w:val="00C454D8"/>
    <w:rsid w:val="00C45A11"/>
    <w:rsid w:val="00C4604C"/>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C56"/>
    <w:rsid w:val="00C53D6E"/>
    <w:rsid w:val="00C53F23"/>
    <w:rsid w:val="00C540D7"/>
    <w:rsid w:val="00C541C8"/>
    <w:rsid w:val="00C54227"/>
    <w:rsid w:val="00C542EB"/>
    <w:rsid w:val="00C546A8"/>
    <w:rsid w:val="00C54D4B"/>
    <w:rsid w:val="00C54DA0"/>
    <w:rsid w:val="00C5534B"/>
    <w:rsid w:val="00C557EC"/>
    <w:rsid w:val="00C559F3"/>
    <w:rsid w:val="00C5618C"/>
    <w:rsid w:val="00C5660D"/>
    <w:rsid w:val="00C56713"/>
    <w:rsid w:val="00C56769"/>
    <w:rsid w:val="00C568EB"/>
    <w:rsid w:val="00C57042"/>
    <w:rsid w:val="00C570DF"/>
    <w:rsid w:val="00C579FA"/>
    <w:rsid w:val="00C57F48"/>
    <w:rsid w:val="00C608E5"/>
    <w:rsid w:val="00C6134D"/>
    <w:rsid w:val="00C6152A"/>
    <w:rsid w:val="00C617CE"/>
    <w:rsid w:val="00C61D0C"/>
    <w:rsid w:val="00C61EF1"/>
    <w:rsid w:val="00C6229E"/>
    <w:rsid w:val="00C6352F"/>
    <w:rsid w:val="00C63FED"/>
    <w:rsid w:val="00C65408"/>
    <w:rsid w:val="00C66422"/>
    <w:rsid w:val="00C66902"/>
    <w:rsid w:val="00C67149"/>
    <w:rsid w:val="00C671DC"/>
    <w:rsid w:val="00C6728D"/>
    <w:rsid w:val="00C67A0E"/>
    <w:rsid w:val="00C70538"/>
    <w:rsid w:val="00C70633"/>
    <w:rsid w:val="00C70F62"/>
    <w:rsid w:val="00C71452"/>
    <w:rsid w:val="00C71A14"/>
    <w:rsid w:val="00C7206A"/>
    <w:rsid w:val="00C72095"/>
    <w:rsid w:val="00C7332F"/>
    <w:rsid w:val="00C736BD"/>
    <w:rsid w:val="00C7413D"/>
    <w:rsid w:val="00C74517"/>
    <w:rsid w:val="00C74684"/>
    <w:rsid w:val="00C75651"/>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28"/>
    <w:rsid w:val="00C838D4"/>
    <w:rsid w:val="00C8395C"/>
    <w:rsid w:val="00C83A85"/>
    <w:rsid w:val="00C84BDD"/>
    <w:rsid w:val="00C8611C"/>
    <w:rsid w:val="00C86C01"/>
    <w:rsid w:val="00C873B6"/>
    <w:rsid w:val="00C877F8"/>
    <w:rsid w:val="00C87A1B"/>
    <w:rsid w:val="00C87E97"/>
    <w:rsid w:val="00C90839"/>
    <w:rsid w:val="00C90892"/>
    <w:rsid w:val="00C912EC"/>
    <w:rsid w:val="00C91565"/>
    <w:rsid w:val="00C915A4"/>
    <w:rsid w:val="00C91696"/>
    <w:rsid w:val="00C91F70"/>
    <w:rsid w:val="00C9247F"/>
    <w:rsid w:val="00C92C0A"/>
    <w:rsid w:val="00C9363B"/>
    <w:rsid w:val="00C9369B"/>
    <w:rsid w:val="00C9372F"/>
    <w:rsid w:val="00C94B15"/>
    <w:rsid w:val="00C95672"/>
    <w:rsid w:val="00C95A95"/>
    <w:rsid w:val="00C96770"/>
    <w:rsid w:val="00C96D18"/>
    <w:rsid w:val="00CA010E"/>
    <w:rsid w:val="00CA104D"/>
    <w:rsid w:val="00CA12D0"/>
    <w:rsid w:val="00CA17F7"/>
    <w:rsid w:val="00CA1B84"/>
    <w:rsid w:val="00CA219E"/>
    <w:rsid w:val="00CA243A"/>
    <w:rsid w:val="00CA2934"/>
    <w:rsid w:val="00CA3D19"/>
    <w:rsid w:val="00CA403C"/>
    <w:rsid w:val="00CA4619"/>
    <w:rsid w:val="00CA5028"/>
    <w:rsid w:val="00CA561A"/>
    <w:rsid w:val="00CA6623"/>
    <w:rsid w:val="00CA755E"/>
    <w:rsid w:val="00CA79B2"/>
    <w:rsid w:val="00CB0372"/>
    <w:rsid w:val="00CB08C1"/>
    <w:rsid w:val="00CB0B93"/>
    <w:rsid w:val="00CB0F16"/>
    <w:rsid w:val="00CB1037"/>
    <w:rsid w:val="00CB14E4"/>
    <w:rsid w:val="00CB19CD"/>
    <w:rsid w:val="00CB22B7"/>
    <w:rsid w:val="00CB2559"/>
    <w:rsid w:val="00CB3A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258"/>
    <w:rsid w:val="00CC1ABE"/>
    <w:rsid w:val="00CC1F19"/>
    <w:rsid w:val="00CC2193"/>
    <w:rsid w:val="00CC2266"/>
    <w:rsid w:val="00CC2309"/>
    <w:rsid w:val="00CC36A8"/>
    <w:rsid w:val="00CC381F"/>
    <w:rsid w:val="00CC3AD5"/>
    <w:rsid w:val="00CC41C7"/>
    <w:rsid w:val="00CC42DF"/>
    <w:rsid w:val="00CC541B"/>
    <w:rsid w:val="00CC62E5"/>
    <w:rsid w:val="00CC70E0"/>
    <w:rsid w:val="00CC70F4"/>
    <w:rsid w:val="00CC73F5"/>
    <w:rsid w:val="00CD0455"/>
    <w:rsid w:val="00CD0479"/>
    <w:rsid w:val="00CD1162"/>
    <w:rsid w:val="00CD1E58"/>
    <w:rsid w:val="00CD30F1"/>
    <w:rsid w:val="00CD310C"/>
    <w:rsid w:val="00CD3387"/>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73D"/>
    <w:rsid w:val="00CE2917"/>
    <w:rsid w:val="00CE2A2B"/>
    <w:rsid w:val="00CE2C6C"/>
    <w:rsid w:val="00CE331F"/>
    <w:rsid w:val="00CE3560"/>
    <w:rsid w:val="00CE37A3"/>
    <w:rsid w:val="00CE37D8"/>
    <w:rsid w:val="00CE3E3B"/>
    <w:rsid w:val="00CE47D0"/>
    <w:rsid w:val="00CE562F"/>
    <w:rsid w:val="00CE582A"/>
    <w:rsid w:val="00CE5BBA"/>
    <w:rsid w:val="00CE5EA3"/>
    <w:rsid w:val="00CE6441"/>
    <w:rsid w:val="00CE7487"/>
    <w:rsid w:val="00CE7FF2"/>
    <w:rsid w:val="00CF0274"/>
    <w:rsid w:val="00CF02B5"/>
    <w:rsid w:val="00CF061E"/>
    <w:rsid w:val="00CF1061"/>
    <w:rsid w:val="00CF10EC"/>
    <w:rsid w:val="00CF11B0"/>
    <w:rsid w:val="00CF1406"/>
    <w:rsid w:val="00CF16DF"/>
    <w:rsid w:val="00CF1BCB"/>
    <w:rsid w:val="00CF1FDD"/>
    <w:rsid w:val="00CF2FC9"/>
    <w:rsid w:val="00CF307F"/>
    <w:rsid w:val="00CF31A4"/>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9A1"/>
    <w:rsid w:val="00D07F17"/>
    <w:rsid w:val="00D11639"/>
    <w:rsid w:val="00D11A2D"/>
    <w:rsid w:val="00D11ADF"/>
    <w:rsid w:val="00D11AFD"/>
    <w:rsid w:val="00D12042"/>
    <w:rsid w:val="00D124E3"/>
    <w:rsid w:val="00D124F2"/>
    <w:rsid w:val="00D13829"/>
    <w:rsid w:val="00D14C22"/>
    <w:rsid w:val="00D156A6"/>
    <w:rsid w:val="00D15BDC"/>
    <w:rsid w:val="00D15D0C"/>
    <w:rsid w:val="00D15E7C"/>
    <w:rsid w:val="00D15EA5"/>
    <w:rsid w:val="00D16532"/>
    <w:rsid w:val="00D16CA6"/>
    <w:rsid w:val="00D16EC3"/>
    <w:rsid w:val="00D175C6"/>
    <w:rsid w:val="00D2036A"/>
    <w:rsid w:val="00D20C28"/>
    <w:rsid w:val="00D2131D"/>
    <w:rsid w:val="00D21343"/>
    <w:rsid w:val="00D214D4"/>
    <w:rsid w:val="00D2274A"/>
    <w:rsid w:val="00D228BB"/>
    <w:rsid w:val="00D23B63"/>
    <w:rsid w:val="00D23B99"/>
    <w:rsid w:val="00D23EC1"/>
    <w:rsid w:val="00D23F2B"/>
    <w:rsid w:val="00D23FB5"/>
    <w:rsid w:val="00D2547A"/>
    <w:rsid w:val="00D258FE"/>
    <w:rsid w:val="00D26215"/>
    <w:rsid w:val="00D2643F"/>
    <w:rsid w:val="00D264C8"/>
    <w:rsid w:val="00D2673B"/>
    <w:rsid w:val="00D26B71"/>
    <w:rsid w:val="00D26BB1"/>
    <w:rsid w:val="00D26DBA"/>
    <w:rsid w:val="00D277B5"/>
    <w:rsid w:val="00D2799A"/>
    <w:rsid w:val="00D27AF7"/>
    <w:rsid w:val="00D27B18"/>
    <w:rsid w:val="00D30437"/>
    <w:rsid w:val="00D30512"/>
    <w:rsid w:val="00D307BA"/>
    <w:rsid w:val="00D30C96"/>
    <w:rsid w:val="00D31176"/>
    <w:rsid w:val="00D3136C"/>
    <w:rsid w:val="00D32D11"/>
    <w:rsid w:val="00D32EA0"/>
    <w:rsid w:val="00D33365"/>
    <w:rsid w:val="00D3377E"/>
    <w:rsid w:val="00D33EDE"/>
    <w:rsid w:val="00D34A4A"/>
    <w:rsid w:val="00D35944"/>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5CD"/>
    <w:rsid w:val="00D44825"/>
    <w:rsid w:val="00D44A02"/>
    <w:rsid w:val="00D45231"/>
    <w:rsid w:val="00D453D6"/>
    <w:rsid w:val="00D45E95"/>
    <w:rsid w:val="00D45F56"/>
    <w:rsid w:val="00D466E4"/>
    <w:rsid w:val="00D46C97"/>
    <w:rsid w:val="00D50146"/>
    <w:rsid w:val="00D50833"/>
    <w:rsid w:val="00D50A6A"/>
    <w:rsid w:val="00D50C50"/>
    <w:rsid w:val="00D50F24"/>
    <w:rsid w:val="00D51037"/>
    <w:rsid w:val="00D51EEE"/>
    <w:rsid w:val="00D52CBA"/>
    <w:rsid w:val="00D534DA"/>
    <w:rsid w:val="00D53737"/>
    <w:rsid w:val="00D53E1B"/>
    <w:rsid w:val="00D55137"/>
    <w:rsid w:val="00D552F0"/>
    <w:rsid w:val="00D55E88"/>
    <w:rsid w:val="00D561F3"/>
    <w:rsid w:val="00D5647E"/>
    <w:rsid w:val="00D56703"/>
    <w:rsid w:val="00D57158"/>
    <w:rsid w:val="00D571A1"/>
    <w:rsid w:val="00D571BF"/>
    <w:rsid w:val="00D57201"/>
    <w:rsid w:val="00D6026B"/>
    <w:rsid w:val="00D603A4"/>
    <w:rsid w:val="00D60E61"/>
    <w:rsid w:val="00D610E4"/>
    <w:rsid w:val="00D6213E"/>
    <w:rsid w:val="00D621EE"/>
    <w:rsid w:val="00D624F5"/>
    <w:rsid w:val="00D6268F"/>
    <w:rsid w:val="00D63499"/>
    <w:rsid w:val="00D63BB6"/>
    <w:rsid w:val="00D63FF1"/>
    <w:rsid w:val="00D6408E"/>
    <w:rsid w:val="00D64177"/>
    <w:rsid w:val="00D646C0"/>
    <w:rsid w:val="00D652F9"/>
    <w:rsid w:val="00D65C9B"/>
    <w:rsid w:val="00D65D77"/>
    <w:rsid w:val="00D65F1E"/>
    <w:rsid w:val="00D66EBB"/>
    <w:rsid w:val="00D66F18"/>
    <w:rsid w:val="00D67725"/>
    <w:rsid w:val="00D67E2D"/>
    <w:rsid w:val="00D70FC0"/>
    <w:rsid w:val="00D71153"/>
    <w:rsid w:val="00D71EA0"/>
    <w:rsid w:val="00D726CB"/>
    <w:rsid w:val="00D73A9B"/>
    <w:rsid w:val="00D74A27"/>
    <w:rsid w:val="00D75AF1"/>
    <w:rsid w:val="00D75E92"/>
    <w:rsid w:val="00D76AF7"/>
    <w:rsid w:val="00D779A2"/>
    <w:rsid w:val="00D779E8"/>
    <w:rsid w:val="00D77EBB"/>
    <w:rsid w:val="00D80436"/>
    <w:rsid w:val="00D8048C"/>
    <w:rsid w:val="00D80AE1"/>
    <w:rsid w:val="00D80D5A"/>
    <w:rsid w:val="00D811FB"/>
    <w:rsid w:val="00D81A24"/>
    <w:rsid w:val="00D8214A"/>
    <w:rsid w:val="00D8250C"/>
    <w:rsid w:val="00D8304F"/>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AA"/>
    <w:rsid w:val="00D902D2"/>
    <w:rsid w:val="00D90860"/>
    <w:rsid w:val="00D91252"/>
    <w:rsid w:val="00D92470"/>
    <w:rsid w:val="00D92B84"/>
    <w:rsid w:val="00D93642"/>
    <w:rsid w:val="00D93DA4"/>
    <w:rsid w:val="00D9470B"/>
    <w:rsid w:val="00D94DE9"/>
    <w:rsid w:val="00D950F5"/>
    <w:rsid w:val="00D95144"/>
    <w:rsid w:val="00D96307"/>
    <w:rsid w:val="00D96DB9"/>
    <w:rsid w:val="00DA0686"/>
    <w:rsid w:val="00DA0B11"/>
    <w:rsid w:val="00DA0CA6"/>
    <w:rsid w:val="00DA271F"/>
    <w:rsid w:val="00DA2CEB"/>
    <w:rsid w:val="00DA32D8"/>
    <w:rsid w:val="00DA3312"/>
    <w:rsid w:val="00DA336D"/>
    <w:rsid w:val="00DA346E"/>
    <w:rsid w:val="00DA385F"/>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166"/>
    <w:rsid w:val="00DB14C4"/>
    <w:rsid w:val="00DB3BA3"/>
    <w:rsid w:val="00DB4354"/>
    <w:rsid w:val="00DB492F"/>
    <w:rsid w:val="00DB4C0B"/>
    <w:rsid w:val="00DB4C76"/>
    <w:rsid w:val="00DB4E4B"/>
    <w:rsid w:val="00DB553F"/>
    <w:rsid w:val="00DB56A2"/>
    <w:rsid w:val="00DB5D24"/>
    <w:rsid w:val="00DB62BB"/>
    <w:rsid w:val="00DB66D4"/>
    <w:rsid w:val="00DB6FB4"/>
    <w:rsid w:val="00DB7B20"/>
    <w:rsid w:val="00DC0A51"/>
    <w:rsid w:val="00DC0E1D"/>
    <w:rsid w:val="00DC23D4"/>
    <w:rsid w:val="00DC25C0"/>
    <w:rsid w:val="00DC2851"/>
    <w:rsid w:val="00DC317C"/>
    <w:rsid w:val="00DC32E9"/>
    <w:rsid w:val="00DC3E48"/>
    <w:rsid w:val="00DC3EEB"/>
    <w:rsid w:val="00DC4B04"/>
    <w:rsid w:val="00DC5225"/>
    <w:rsid w:val="00DC59CA"/>
    <w:rsid w:val="00DC670C"/>
    <w:rsid w:val="00DC7C98"/>
    <w:rsid w:val="00DD0F3C"/>
    <w:rsid w:val="00DD2715"/>
    <w:rsid w:val="00DD3004"/>
    <w:rsid w:val="00DD3097"/>
    <w:rsid w:val="00DD38FE"/>
    <w:rsid w:val="00DD3CAD"/>
    <w:rsid w:val="00DD527E"/>
    <w:rsid w:val="00DD5514"/>
    <w:rsid w:val="00DD624C"/>
    <w:rsid w:val="00DD6625"/>
    <w:rsid w:val="00DD7E54"/>
    <w:rsid w:val="00DD7FA5"/>
    <w:rsid w:val="00DE0B1E"/>
    <w:rsid w:val="00DE0C77"/>
    <w:rsid w:val="00DE11FA"/>
    <w:rsid w:val="00DE1910"/>
    <w:rsid w:val="00DE1F94"/>
    <w:rsid w:val="00DE266D"/>
    <w:rsid w:val="00DE283D"/>
    <w:rsid w:val="00DE296F"/>
    <w:rsid w:val="00DE2CE5"/>
    <w:rsid w:val="00DE2D1A"/>
    <w:rsid w:val="00DE3120"/>
    <w:rsid w:val="00DE31FB"/>
    <w:rsid w:val="00DE33BB"/>
    <w:rsid w:val="00DE33F5"/>
    <w:rsid w:val="00DE3608"/>
    <w:rsid w:val="00DE4359"/>
    <w:rsid w:val="00DE49BA"/>
    <w:rsid w:val="00DE515F"/>
    <w:rsid w:val="00DE66B6"/>
    <w:rsid w:val="00DE66DA"/>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218"/>
    <w:rsid w:val="00DF6B67"/>
    <w:rsid w:val="00E00309"/>
    <w:rsid w:val="00E007B9"/>
    <w:rsid w:val="00E008D8"/>
    <w:rsid w:val="00E00C3F"/>
    <w:rsid w:val="00E01315"/>
    <w:rsid w:val="00E01503"/>
    <w:rsid w:val="00E01FBA"/>
    <w:rsid w:val="00E024C8"/>
    <w:rsid w:val="00E03525"/>
    <w:rsid w:val="00E0471A"/>
    <w:rsid w:val="00E04E2F"/>
    <w:rsid w:val="00E05615"/>
    <w:rsid w:val="00E0585A"/>
    <w:rsid w:val="00E05B61"/>
    <w:rsid w:val="00E060C4"/>
    <w:rsid w:val="00E06611"/>
    <w:rsid w:val="00E06B10"/>
    <w:rsid w:val="00E1012C"/>
    <w:rsid w:val="00E10A1E"/>
    <w:rsid w:val="00E10D1E"/>
    <w:rsid w:val="00E10F48"/>
    <w:rsid w:val="00E10FAE"/>
    <w:rsid w:val="00E1214F"/>
    <w:rsid w:val="00E12980"/>
    <w:rsid w:val="00E12CF3"/>
    <w:rsid w:val="00E136A7"/>
    <w:rsid w:val="00E13711"/>
    <w:rsid w:val="00E13F05"/>
    <w:rsid w:val="00E141D8"/>
    <w:rsid w:val="00E14743"/>
    <w:rsid w:val="00E157F9"/>
    <w:rsid w:val="00E15B03"/>
    <w:rsid w:val="00E166E9"/>
    <w:rsid w:val="00E171E3"/>
    <w:rsid w:val="00E177CD"/>
    <w:rsid w:val="00E177E2"/>
    <w:rsid w:val="00E17EA0"/>
    <w:rsid w:val="00E21754"/>
    <w:rsid w:val="00E21B19"/>
    <w:rsid w:val="00E23382"/>
    <w:rsid w:val="00E235B9"/>
    <w:rsid w:val="00E23734"/>
    <w:rsid w:val="00E23E82"/>
    <w:rsid w:val="00E240E3"/>
    <w:rsid w:val="00E243D1"/>
    <w:rsid w:val="00E24AEB"/>
    <w:rsid w:val="00E24BDF"/>
    <w:rsid w:val="00E2522A"/>
    <w:rsid w:val="00E254F7"/>
    <w:rsid w:val="00E25574"/>
    <w:rsid w:val="00E2572C"/>
    <w:rsid w:val="00E258E5"/>
    <w:rsid w:val="00E264E3"/>
    <w:rsid w:val="00E2673C"/>
    <w:rsid w:val="00E26C62"/>
    <w:rsid w:val="00E271C8"/>
    <w:rsid w:val="00E27F9A"/>
    <w:rsid w:val="00E27FB5"/>
    <w:rsid w:val="00E303E2"/>
    <w:rsid w:val="00E31211"/>
    <w:rsid w:val="00E31496"/>
    <w:rsid w:val="00E31CB7"/>
    <w:rsid w:val="00E323F2"/>
    <w:rsid w:val="00E32C55"/>
    <w:rsid w:val="00E335E4"/>
    <w:rsid w:val="00E33B71"/>
    <w:rsid w:val="00E33E1A"/>
    <w:rsid w:val="00E3443B"/>
    <w:rsid w:val="00E357FB"/>
    <w:rsid w:val="00E363BD"/>
    <w:rsid w:val="00E36AC9"/>
    <w:rsid w:val="00E36CB5"/>
    <w:rsid w:val="00E36E21"/>
    <w:rsid w:val="00E36E79"/>
    <w:rsid w:val="00E3715C"/>
    <w:rsid w:val="00E37CDC"/>
    <w:rsid w:val="00E40E53"/>
    <w:rsid w:val="00E410B4"/>
    <w:rsid w:val="00E414B2"/>
    <w:rsid w:val="00E41928"/>
    <w:rsid w:val="00E41D36"/>
    <w:rsid w:val="00E41E53"/>
    <w:rsid w:val="00E42904"/>
    <w:rsid w:val="00E42AF1"/>
    <w:rsid w:val="00E42CAD"/>
    <w:rsid w:val="00E43ACA"/>
    <w:rsid w:val="00E43C45"/>
    <w:rsid w:val="00E43E08"/>
    <w:rsid w:val="00E44EFC"/>
    <w:rsid w:val="00E45FC8"/>
    <w:rsid w:val="00E460A0"/>
    <w:rsid w:val="00E46997"/>
    <w:rsid w:val="00E47038"/>
    <w:rsid w:val="00E47252"/>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6E2"/>
    <w:rsid w:val="00E53D6E"/>
    <w:rsid w:val="00E564D3"/>
    <w:rsid w:val="00E567AE"/>
    <w:rsid w:val="00E56A7C"/>
    <w:rsid w:val="00E573E2"/>
    <w:rsid w:val="00E60994"/>
    <w:rsid w:val="00E622FB"/>
    <w:rsid w:val="00E62E37"/>
    <w:rsid w:val="00E6311A"/>
    <w:rsid w:val="00E633E0"/>
    <w:rsid w:val="00E63AC7"/>
    <w:rsid w:val="00E642F4"/>
    <w:rsid w:val="00E64966"/>
    <w:rsid w:val="00E64DA1"/>
    <w:rsid w:val="00E65316"/>
    <w:rsid w:val="00E65329"/>
    <w:rsid w:val="00E66CE7"/>
    <w:rsid w:val="00E672DB"/>
    <w:rsid w:val="00E6796A"/>
    <w:rsid w:val="00E70083"/>
    <w:rsid w:val="00E71184"/>
    <w:rsid w:val="00E71658"/>
    <w:rsid w:val="00E717D0"/>
    <w:rsid w:val="00E71A1A"/>
    <w:rsid w:val="00E71B3C"/>
    <w:rsid w:val="00E71F23"/>
    <w:rsid w:val="00E72087"/>
    <w:rsid w:val="00E72154"/>
    <w:rsid w:val="00E72F35"/>
    <w:rsid w:val="00E73767"/>
    <w:rsid w:val="00E73CF4"/>
    <w:rsid w:val="00E73E85"/>
    <w:rsid w:val="00E74875"/>
    <w:rsid w:val="00E74A7C"/>
    <w:rsid w:val="00E74FE4"/>
    <w:rsid w:val="00E75CFF"/>
    <w:rsid w:val="00E76095"/>
    <w:rsid w:val="00E80015"/>
    <w:rsid w:val="00E8019B"/>
    <w:rsid w:val="00E806E5"/>
    <w:rsid w:val="00E80F7D"/>
    <w:rsid w:val="00E81810"/>
    <w:rsid w:val="00E81B09"/>
    <w:rsid w:val="00E81ED8"/>
    <w:rsid w:val="00E81F11"/>
    <w:rsid w:val="00E827BC"/>
    <w:rsid w:val="00E828EE"/>
    <w:rsid w:val="00E8350A"/>
    <w:rsid w:val="00E83DA2"/>
    <w:rsid w:val="00E840D9"/>
    <w:rsid w:val="00E84FF4"/>
    <w:rsid w:val="00E85053"/>
    <w:rsid w:val="00E8580B"/>
    <w:rsid w:val="00E860D2"/>
    <w:rsid w:val="00E87153"/>
    <w:rsid w:val="00E87508"/>
    <w:rsid w:val="00E875AC"/>
    <w:rsid w:val="00E9036C"/>
    <w:rsid w:val="00E90C25"/>
    <w:rsid w:val="00E912C1"/>
    <w:rsid w:val="00E91760"/>
    <w:rsid w:val="00E91BE5"/>
    <w:rsid w:val="00E921C4"/>
    <w:rsid w:val="00E92A09"/>
    <w:rsid w:val="00E92ADB"/>
    <w:rsid w:val="00E92D1B"/>
    <w:rsid w:val="00E93D14"/>
    <w:rsid w:val="00E93DEE"/>
    <w:rsid w:val="00E94284"/>
    <w:rsid w:val="00E9449A"/>
    <w:rsid w:val="00E95B82"/>
    <w:rsid w:val="00E960C6"/>
    <w:rsid w:val="00E96888"/>
    <w:rsid w:val="00E96B4D"/>
    <w:rsid w:val="00E96D3A"/>
    <w:rsid w:val="00E9743D"/>
    <w:rsid w:val="00E978A5"/>
    <w:rsid w:val="00EA0306"/>
    <w:rsid w:val="00EA05A8"/>
    <w:rsid w:val="00EA0C81"/>
    <w:rsid w:val="00EA0C97"/>
    <w:rsid w:val="00EA0DF5"/>
    <w:rsid w:val="00EA1658"/>
    <w:rsid w:val="00EA1A96"/>
    <w:rsid w:val="00EA1E6E"/>
    <w:rsid w:val="00EA1EE4"/>
    <w:rsid w:val="00EA211E"/>
    <w:rsid w:val="00EA2140"/>
    <w:rsid w:val="00EA231C"/>
    <w:rsid w:val="00EA24F8"/>
    <w:rsid w:val="00EA26E5"/>
    <w:rsid w:val="00EA2D46"/>
    <w:rsid w:val="00EA3893"/>
    <w:rsid w:val="00EA4C59"/>
    <w:rsid w:val="00EA60DB"/>
    <w:rsid w:val="00EA6A3F"/>
    <w:rsid w:val="00EA6F62"/>
    <w:rsid w:val="00EA7504"/>
    <w:rsid w:val="00EA7685"/>
    <w:rsid w:val="00EA78B3"/>
    <w:rsid w:val="00EB084D"/>
    <w:rsid w:val="00EB0E09"/>
    <w:rsid w:val="00EB1341"/>
    <w:rsid w:val="00EB148C"/>
    <w:rsid w:val="00EB2AC9"/>
    <w:rsid w:val="00EB2CD2"/>
    <w:rsid w:val="00EB2DE4"/>
    <w:rsid w:val="00EB3707"/>
    <w:rsid w:val="00EB383C"/>
    <w:rsid w:val="00EB3A59"/>
    <w:rsid w:val="00EB3BCF"/>
    <w:rsid w:val="00EB44FC"/>
    <w:rsid w:val="00EB48EE"/>
    <w:rsid w:val="00EB4B0D"/>
    <w:rsid w:val="00EB6A7D"/>
    <w:rsid w:val="00EB6F36"/>
    <w:rsid w:val="00EB7460"/>
    <w:rsid w:val="00EB7AD8"/>
    <w:rsid w:val="00EB7CD8"/>
    <w:rsid w:val="00EC05C8"/>
    <w:rsid w:val="00EC09E4"/>
    <w:rsid w:val="00EC0E75"/>
    <w:rsid w:val="00EC14E7"/>
    <w:rsid w:val="00EC2DC7"/>
    <w:rsid w:val="00EC3845"/>
    <w:rsid w:val="00EC3975"/>
    <w:rsid w:val="00EC3B82"/>
    <w:rsid w:val="00EC4808"/>
    <w:rsid w:val="00EC5176"/>
    <w:rsid w:val="00EC566E"/>
    <w:rsid w:val="00EC5713"/>
    <w:rsid w:val="00EC57EA"/>
    <w:rsid w:val="00EC57F3"/>
    <w:rsid w:val="00EC6B95"/>
    <w:rsid w:val="00EC6F8B"/>
    <w:rsid w:val="00ED02F7"/>
    <w:rsid w:val="00ED05D7"/>
    <w:rsid w:val="00ED0742"/>
    <w:rsid w:val="00ED0A7C"/>
    <w:rsid w:val="00ED0EB0"/>
    <w:rsid w:val="00ED1196"/>
    <w:rsid w:val="00ED2ADD"/>
    <w:rsid w:val="00ED309F"/>
    <w:rsid w:val="00ED38E0"/>
    <w:rsid w:val="00ED3CAD"/>
    <w:rsid w:val="00ED4968"/>
    <w:rsid w:val="00ED4A81"/>
    <w:rsid w:val="00ED4E32"/>
    <w:rsid w:val="00ED4EAF"/>
    <w:rsid w:val="00ED52AD"/>
    <w:rsid w:val="00ED57E7"/>
    <w:rsid w:val="00ED5D21"/>
    <w:rsid w:val="00ED6A3C"/>
    <w:rsid w:val="00ED6DE2"/>
    <w:rsid w:val="00ED70A2"/>
    <w:rsid w:val="00ED7783"/>
    <w:rsid w:val="00EE09FA"/>
    <w:rsid w:val="00EE0A45"/>
    <w:rsid w:val="00EE0C04"/>
    <w:rsid w:val="00EE0D89"/>
    <w:rsid w:val="00EE12B9"/>
    <w:rsid w:val="00EE1762"/>
    <w:rsid w:val="00EE1AC1"/>
    <w:rsid w:val="00EE236E"/>
    <w:rsid w:val="00EE2B43"/>
    <w:rsid w:val="00EE2CF1"/>
    <w:rsid w:val="00EE32C0"/>
    <w:rsid w:val="00EE3501"/>
    <w:rsid w:val="00EE39E9"/>
    <w:rsid w:val="00EE4267"/>
    <w:rsid w:val="00EE6C0A"/>
    <w:rsid w:val="00EE6F96"/>
    <w:rsid w:val="00EE7E2D"/>
    <w:rsid w:val="00EF094D"/>
    <w:rsid w:val="00EF09EA"/>
    <w:rsid w:val="00EF0A02"/>
    <w:rsid w:val="00EF0BC3"/>
    <w:rsid w:val="00EF14F7"/>
    <w:rsid w:val="00EF1889"/>
    <w:rsid w:val="00EF2017"/>
    <w:rsid w:val="00EF2192"/>
    <w:rsid w:val="00EF25BD"/>
    <w:rsid w:val="00EF4702"/>
    <w:rsid w:val="00EF4BD3"/>
    <w:rsid w:val="00EF4E03"/>
    <w:rsid w:val="00EF5106"/>
    <w:rsid w:val="00EF53E2"/>
    <w:rsid w:val="00EF5DCE"/>
    <w:rsid w:val="00EF5F3B"/>
    <w:rsid w:val="00EF7A72"/>
    <w:rsid w:val="00EF7AE1"/>
    <w:rsid w:val="00EF7F21"/>
    <w:rsid w:val="00EF7FBD"/>
    <w:rsid w:val="00F0033C"/>
    <w:rsid w:val="00F0053A"/>
    <w:rsid w:val="00F00C40"/>
    <w:rsid w:val="00F00E89"/>
    <w:rsid w:val="00F010EB"/>
    <w:rsid w:val="00F01E2B"/>
    <w:rsid w:val="00F030E8"/>
    <w:rsid w:val="00F032D6"/>
    <w:rsid w:val="00F0336F"/>
    <w:rsid w:val="00F039E4"/>
    <w:rsid w:val="00F03EF5"/>
    <w:rsid w:val="00F042A5"/>
    <w:rsid w:val="00F04458"/>
    <w:rsid w:val="00F05EC1"/>
    <w:rsid w:val="00F0673A"/>
    <w:rsid w:val="00F0707B"/>
    <w:rsid w:val="00F07432"/>
    <w:rsid w:val="00F07E9A"/>
    <w:rsid w:val="00F102E6"/>
    <w:rsid w:val="00F103BF"/>
    <w:rsid w:val="00F10B2B"/>
    <w:rsid w:val="00F10C82"/>
    <w:rsid w:val="00F11F25"/>
    <w:rsid w:val="00F11F98"/>
    <w:rsid w:val="00F122C7"/>
    <w:rsid w:val="00F1454D"/>
    <w:rsid w:val="00F149AA"/>
    <w:rsid w:val="00F14BE9"/>
    <w:rsid w:val="00F14DF4"/>
    <w:rsid w:val="00F14EB9"/>
    <w:rsid w:val="00F15523"/>
    <w:rsid w:val="00F15868"/>
    <w:rsid w:val="00F15F96"/>
    <w:rsid w:val="00F174C1"/>
    <w:rsid w:val="00F175E0"/>
    <w:rsid w:val="00F17840"/>
    <w:rsid w:val="00F17CC7"/>
    <w:rsid w:val="00F17F22"/>
    <w:rsid w:val="00F20123"/>
    <w:rsid w:val="00F2067D"/>
    <w:rsid w:val="00F210C0"/>
    <w:rsid w:val="00F21A5F"/>
    <w:rsid w:val="00F21E18"/>
    <w:rsid w:val="00F22798"/>
    <w:rsid w:val="00F22957"/>
    <w:rsid w:val="00F22CFF"/>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4C0"/>
    <w:rsid w:val="00F305BB"/>
    <w:rsid w:val="00F30755"/>
    <w:rsid w:val="00F30A76"/>
    <w:rsid w:val="00F30A9D"/>
    <w:rsid w:val="00F30C86"/>
    <w:rsid w:val="00F31873"/>
    <w:rsid w:val="00F31D0F"/>
    <w:rsid w:val="00F32056"/>
    <w:rsid w:val="00F32082"/>
    <w:rsid w:val="00F32D0D"/>
    <w:rsid w:val="00F32E44"/>
    <w:rsid w:val="00F34493"/>
    <w:rsid w:val="00F34862"/>
    <w:rsid w:val="00F3523D"/>
    <w:rsid w:val="00F358A3"/>
    <w:rsid w:val="00F362AD"/>
    <w:rsid w:val="00F3634B"/>
    <w:rsid w:val="00F367AB"/>
    <w:rsid w:val="00F4066B"/>
    <w:rsid w:val="00F40706"/>
    <w:rsid w:val="00F4073C"/>
    <w:rsid w:val="00F412D9"/>
    <w:rsid w:val="00F41F06"/>
    <w:rsid w:val="00F4214A"/>
    <w:rsid w:val="00F4231A"/>
    <w:rsid w:val="00F42CB0"/>
    <w:rsid w:val="00F439AF"/>
    <w:rsid w:val="00F44F02"/>
    <w:rsid w:val="00F44F24"/>
    <w:rsid w:val="00F457BD"/>
    <w:rsid w:val="00F45B68"/>
    <w:rsid w:val="00F468AF"/>
    <w:rsid w:val="00F47191"/>
    <w:rsid w:val="00F47356"/>
    <w:rsid w:val="00F47BA9"/>
    <w:rsid w:val="00F47BE2"/>
    <w:rsid w:val="00F506DF"/>
    <w:rsid w:val="00F517C0"/>
    <w:rsid w:val="00F520BB"/>
    <w:rsid w:val="00F52699"/>
    <w:rsid w:val="00F52F3C"/>
    <w:rsid w:val="00F531D9"/>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4DE"/>
    <w:rsid w:val="00F64571"/>
    <w:rsid w:val="00F645EE"/>
    <w:rsid w:val="00F6522D"/>
    <w:rsid w:val="00F65AE6"/>
    <w:rsid w:val="00F660AB"/>
    <w:rsid w:val="00F67485"/>
    <w:rsid w:val="00F67F31"/>
    <w:rsid w:val="00F67FDD"/>
    <w:rsid w:val="00F71381"/>
    <w:rsid w:val="00F71AAA"/>
    <w:rsid w:val="00F71B21"/>
    <w:rsid w:val="00F71C88"/>
    <w:rsid w:val="00F72F52"/>
    <w:rsid w:val="00F7375F"/>
    <w:rsid w:val="00F7390B"/>
    <w:rsid w:val="00F73B55"/>
    <w:rsid w:val="00F73DB7"/>
    <w:rsid w:val="00F7438E"/>
    <w:rsid w:val="00F749AD"/>
    <w:rsid w:val="00F758E4"/>
    <w:rsid w:val="00F75A15"/>
    <w:rsid w:val="00F75AF5"/>
    <w:rsid w:val="00F75BFB"/>
    <w:rsid w:val="00F76063"/>
    <w:rsid w:val="00F7770F"/>
    <w:rsid w:val="00F777DC"/>
    <w:rsid w:val="00F778AF"/>
    <w:rsid w:val="00F77FB9"/>
    <w:rsid w:val="00F80533"/>
    <w:rsid w:val="00F81DE3"/>
    <w:rsid w:val="00F834E8"/>
    <w:rsid w:val="00F8357F"/>
    <w:rsid w:val="00F847B4"/>
    <w:rsid w:val="00F85EB1"/>
    <w:rsid w:val="00F86A2B"/>
    <w:rsid w:val="00F86D07"/>
    <w:rsid w:val="00F876E5"/>
    <w:rsid w:val="00F87A20"/>
    <w:rsid w:val="00F87B90"/>
    <w:rsid w:val="00F87D90"/>
    <w:rsid w:val="00F9107C"/>
    <w:rsid w:val="00F910FB"/>
    <w:rsid w:val="00F91228"/>
    <w:rsid w:val="00F91C85"/>
    <w:rsid w:val="00F91F0B"/>
    <w:rsid w:val="00F9260C"/>
    <w:rsid w:val="00F9267E"/>
    <w:rsid w:val="00F931FF"/>
    <w:rsid w:val="00F9394B"/>
    <w:rsid w:val="00F9426B"/>
    <w:rsid w:val="00F94B54"/>
    <w:rsid w:val="00F954B5"/>
    <w:rsid w:val="00F95F0B"/>
    <w:rsid w:val="00F96D35"/>
    <w:rsid w:val="00F96D74"/>
    <w:rsid w:val="00FA02E3"/>
    <w:rsid w:val="00FA04B0"/>
    <w:rsid w:val="00FA0E83"/>
    <w:rsid w:val="00FA11F7"/>
    <w:rsid w:val="00FA20B0"/>
    <w:rsid w:val="00FA234D"/>
    <w:rsid w:val="00FA25E6"/>
    <w:rsid w:val="00FA3040"/>
    <w:rsid w:val="00FA30C0"/>
    <w:rsid w:val="00FA37B4"/>
    <w:rsid w:val="00FA3F0A"/>
    <w:rsid w:val="00FA44EE"/>
    <w:rsid w:val="00FA457D"/>
    <w:rsid w:val="00FA49AF"/>
    <w:rsid w:val="00FA4D24"/>
    <w:rsid w:val="00FA56E3"/>
    <w:rsid w:val="00FA64BB"/>
    <w:rsid w:val="00FA66D5"/>
    <w:rsid w:val="00FA732A"/>
    <w:rsid w:val="00FA73A5"/>
    <w:rsid w:val="00FA7F4A"/>
    <w:rsid w:val="00FB001E"/>
    <w:rsid w:val="00FB00BD"/>
    <w:rsid w:val="00FB084B"/>
    <w:rsid w:val="00FB088D"/>
    <w:rsid w:val="00FB09A3"/>
    <w:rsid w:val="00FB0C60"/>
    <w:rsid w:val="00FB119C"/>
    <w:rsid w:val="00FB2DDC"/>
    <w:rsid w:val="00FB37FC"/>
    <w:rsid w:val="00FB388E"/>
    <w:rsid w:val="00FB3D53"/>
    <w:rsid w:val="00FB4162"/>
    <w:rsid w:val="00FB43BF"/>
    <w:rsid w:val="00FB5285"/>
    <w:rsid w:val="00FB53ED"/>
    <w:rsid w:val="00FB611A"/>
    <w:rsid w:val="00FB6978"/>
    <w:rsid w:val="00FB7657"/>
    <w:rsid w:val="00FB7923"/>
    <w:rsid w:val="00FB7DB0"/>
    <w:rsid w:val="00FC01F1"/>
    <w:rsid w:val="00FC0D37"/>
    <w:rsid w:val="00FC10C4"/>
    <w:rsid w:val="00FC124C"/>
    <w:rsid w:val="00FC134F"/>
    <w:rsid w:val="00FC1981"/>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79A"/>
    <w:rsid w:val="00FD4B80"/>
    <w:rsid w:val="00FD4F92"/>
    <w:rsid w:val="00FD5264"/>
    <w:rsid w:val="00FD5377"/>
    <w:rsid w:val="00FD5A9B"/>
    <w:rsid w:val="00FD6699"/>
    <w:rsid w:val="00FD6B46"/>
    <w:rsid w:val="00FD71F3"/>
    <w:rsid w:val="00FD78B1"/>
    <w:rsid w:val="00FE03C1"/>
    <w:rsid w:val="00FE04C9"/>
    <w:rsid w:val="00FE05C6"/>
    <w:rsid w:val="00FE0E16"/>
    <w:rsid w:val="00FE0E82"/>
    <w:rsid w:val="00FE123B"/>
    <w:rsid w:val="00FE2238"/>
    <w:rsid w:val="00FE225B"/>
    <w:rsid w:val="00FE23C2"/>
    <w:rsid w:val="00FE2457"/>
    <w:rsid w:val="00FE3423"/>
    <w:rsid w:val="00FE4C3B"/>
    <w:rsid w:val="00FE5671"/>
    <w:rsid w:val="00FE5A6D"/>
    <w:rsid w:val="00FE6403"/>
    <w:rsid w:val="00FE645D"/>
    <w:rsid w:val="00FE6A53"/>
    <w:rsid w:val="00FE6B5A"/>
    <w:rsid w:val="00FE6B70"/>
    <w:rsid w:val="00FE6B9D"/>
    <w:rsid w:val="00FE6CF0"/>
    <w:rsid w:val="00FE6E59"/>
    <w:rsid w:val="00FE73AE"/>
    <w:rsid w:val="00FE7969"/>
    <w:rsid w:val="00FE7BF1"/>
    <w:rsid w:val="00FE7F3A"/>
    <w:rsid w:val="00FF070B"/>
    <w:rsid w:val="00FF0902"/>
    <w:rsid w:val="00FF1601"/>
    <w:rsid w:val="00FF18E6"/>
    <w:rsid w:val="00FF288E"/>
    <w:rsid w:val="00FF296B"/>
    <w:rsid w:val="00FF29B0"/>
    <w:rsid w:val="00FF2D35"/>
    <w:rsid w:val="00FF3119"/>
    <w:rsid w:val="00FF3671"/>
    <w:rsid w:val="00FF3EB4"/>
    <w:rsid w:val="00FF4F02"/>
    <w:rsid w:val="00FF4FF5"/>
    <w:rsid w:val="00FF5333"/>
    <w:rsid w:val="00FF550B"/>
    <w:rsid w:val="00FF5A5B"/>
    <w:rsid w:val="00FF5F59"/>
    <w:rsid w:val="00FF6229"/>
    <w:rsid w:val="00FF66C8"/>
    <w:rsid w:val="00FF7568"/>
    <w:rsid w:val="00FF7E3B"/>
    <w:rsid w:val="04502041"/>
    <w:rsid w:val="05620308"/>
    <w:rsid w:val="059EAAFC"/>
    <w:rsid w:val="05A92CBF"/>
    <w:rsid w:val="07E099B5"/>
    <w:rsid w:val="0881EAFA"/>
    <w:rsid w:val="0924D9C0"/>
    <w:rsid w:val="0A0B9CB7"/>
    <w:rsid w:val="0A187717"/>
    <w:rsid w:val="0E5BA41F"/>
    <w:rsid w:val="1055A447"/>
    <w:rsid w:val="12A1CCA9"/>
    <w:rsid w:val="1390B879"/>
    <w:rsid w:val="14E044F9"/>
    <w:rsid w:val="170A1F80"/>
    <w:rsid w:val="196E4291"/>
    <w:rsid w:val="1AB0453D"/>
    <w:rsid w:val="1AE08EB0"/>
    <w:rsid w:val="1E538CAC"/>
    <w:rsid w:val="1ECE6419"/>
    <w:rsid w:val="20DCE62B"/>
    <w:rsid w:val="213E07A1"/>
    <w:rsid w:val="2170AF11"/>
    <w:rsid w:val="238DC68D"/>
    <w:rsid w:val="25781F50"/>
    <w:rsid w:val="2636B1BD"/>
    <w:rsid w:val="281C48F7"/>
    <w:rsid w:val="28DC58ED"/>
    <w:rsid w:val="298C7D32"/>
    <w:rsid w:val="29F0E3E5"/>
    <w:rsid w:val="2CFEE8C0"/>
    <w:rsid w:val="2D2F8F25"/>
    <w:rsid w:val="2D45D699"/>
    <w:rsid w:val="318E7C21"/>
    <w:rsid w:val="35D28C3C"/>
    <w:rsid w:val="38EA150B"/>
    <w:rsid w:val="3AC9E59D"/>
    <w:rsid w:val="3F454934"/>
    <w:rsid w:val="3FEFEB6D"/>
    <w:rsid w:val="3FF1BE93"/>
    <w:rsid w:val="40304721"/>
    <w:rsid w:val="40854137"/>
    <w:rsid w:val="408C36B9"/>
    <w:rsid w:val="42A4F55E"/>
    <w:rsid w:val="46C94D07"/>
    <w:rsid w:val="49F45A3F"/>
    <w:rsid w:val="4A690026"/>
    <w:rsid w:val="4AA5BC9F"/>
    <w:rsid w:val="4AC77C55"/>
    <w:rsid w:val="4D7C1B00"/>
    <w:rsid w:val="4D936C96"/>
    <w:rsid w:val="4D9A8117"/>
    <w:rsid w:val="4E29C47D"/>
    <w:rsid w:val="4E59C62D"/>
    <w:rsid w:val="507C62CE"/>
    <w:rsid w:val="51A9CD1E"/>
    <w:rsid w:val="52219894"/>
    <w:rsid w:val="537053EB"/>
    <w:rsid w:val="548155DA"/>
    <w:rsid w:val="55460D37"/>
    <w:rsid w:val="554D5C95"/>
    <w:rsid w:val="559DCC5C"/>
    <w:rsid w:val="56CB55DE"/>
    <w:rsid w:val="5743411D"/>
    <w:rsid w:val="5775ABF0"/>
    <w:rsid w:val="57DB51E9"/>
    <w:rsid w:val="57FFE645"/>
    <w:rsid w:val="5868EA32"/>
    <w:rsid w:val="599BB6A6"/>
    <w:rsid w:val="5A70F66C"/>
    <w:rsid w:val="5B9168F3"/>
    <w:rsid w:val="5CF35A48"/>
    <w:rsid w:val="5E3EC779"/>
    <w:rsid w:val="5E6F27C9"/>
    <w:rsid w:val="5ECBD0B2"/>
    <w:rsid w:val="61457A79"/>
    <w:rsid w:val="62D90BEA"/>
    <w:rsid w:val="6753EFEF"/>
    <w:rsid w:val="677EA8B7"/>
    <w:rsid w:val="698FAD62"/>
    <w:rsid w:val="69C03036"/>
    <w:rsid w:val="6D16B026"/>
    <w:rsid w:val="6E571EE1"/>
    <w:rsid w:val="6FC8EF70"/>
    <w:rsid w:val="70DD1B62"/>
    <w:rsid w:val="70F29544"/>
    <w:rsid w:val="714C5571"/>
    <w:rsid w:val="72767FF4"/>
    <w:rsid w:val="74C62BB7"/>
    <w:rsid w:val="758B53FF"/>
    <w:rsid w:val="76865F6B"/>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6596BEBA-F163-4124-8DDE-D83D85D47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FF550B"/>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character" w:styleId="Mention">
    <w:name w:val="Mention"/>
    <w:basedOn w:val="DefaultParagraphFont"/>
    <w:uiPriority w:val="99"/>
    <w:unhideWhenUsed/>
    <w:rsid w:val="007C1147"/>
    <w:rPr>
      <w:color w:val="2B579A"/>
      <w:shd w:val="clear" w:color="auto" w:fill="E1DFDD"/>
    </w:rPr>
  </w:style>
  <w:style w:type="paragraph" w:customStyle="1" w:styleId="Default">
    <w:name w:val="Default"/>
    <w:basedOn w:val="Normal"/>
    <w:rsid w:val="00127507"/>
    <w:pPr>
      <w:autoSpaceDE w:val="0"/>
      <w:autoSpaceDN w:val="0"/>
      <w:spacing w:after="0"/>
    </w:pPr>
    <w:rPr>
      <w:rFonts w:eastAsiaTheme="minorEastAsia"/>
      <w:color w:val="000000"/>
      <w:sz w:val="24"/>
      <w:szCs w:val="24"/>
      <w:lang w:val="en-SE" w:eastAsia="zh-CN"/>
    </w:rPr>
  </w:style>
  <w:style w:type="paragraph" w:customStyle="1" w:styleId="indent-1">
    <w:name w:val="indent-1"/>
    <w:basedOn w:val="Normal"/>
    <w:rsid w:val="003A7A0C"/>
    <w:pPr>
      <w:spacing w:before="100" w:beforeAutospacing="1" w:after="100" w:afterAutospacing="1"/>
    </w:pPr>
    <w:rPr>
      <w:rFonts w:ascii="Calibri" w:eastAsiaTheme="minorEastAsia" w:hAnsi="Calibri" w:cs="Calibri"/>
      <w:sz w:val="22"/>
      <w:szCs w:val="22"/>
      <w:lang w:val="en-SE" w:eastAsia="zh-CN"/>
    </w:rPr>
  </w:style>
  <w:style w:type="paragraph" w:customStyle="1" w:styleId="indent-2">
    <w:name w:val="indent-2"/>
    <w:basedOn w:val="Normal"/>
    <w:rsid w:val="003A7A0C"/>
    <w:pPr>
      <w:spacing w:before="100" w:beforeAutospacing="1" w:after="100" w:afterAutospacing="1"/>
    </w:pPr>
    <w:rPr>
      <w:rFonts w:ascii="Calibri" w:eastAsiaTheme="minorEastAsia" w:hAnsi="Calibri" w:cs="Calibri"/>
      <w:sz w:val="22"/>
      <w:szCs w:val="22"/>
      <w:lang w:val="en-SE" w:eastAsia="zh-CN"/>
    </w:rPr>
  </w:style>
  <w:style w:type="paragraph" w:customStyle="1" w:styleId="indent-3">
    <w:name w:val="indent-3"/>
    <w:basedOn w:val="Normal"/>
    <w:rsid w:val="003A7A0C"/>
    <w:pPr>
      <w:spacing w:before="100" w:beforeAutospacing="1" w:after="100" w:afterAutospacing="1"/>
    </w:pPr>
    <w:rPr>
      <w:rFonts w:ascii="Calibri" w:eastAsiaTheme="minorEastAsia" w:hAnsi="Calibri" w:cs="Calibri"/>
      <w:sz w:val="22"/>
      <w:szCs w:val="22"/>
      <w:lang w:val="en-SE" w:eastAsia="zh-CN"/>
    </w:rPr>
  </w:style>
  <w:style w:type="character" w:customStyle="1" w:styleId="paragraph-hierarchy">
    <w:name w:val="paragraph-hierarchy"/>
    <w:basedOn w:val="DefaultParagraphFont"/>
    <w:rsid w:val="003A7A0C"/>
  </w:style>
  <w:style w:type="character" w:customStyle="1" w:styleId="paren">
    <w:name w:val="paren"/>
    <w:basedOn w:val="DefaultParagraphFont"/>
    <w:rsid w:val="003A7A0C"/>
  </w:style>
  <w:style w:type="character" w:customStyle="1" w:styleId="et03">
    <w:name w:val="et03"/>
    <w:basedOn w:val="DefaultParagraphFont"/>
    <w:rsid w:val="003A7A0C"/>
  </w:style>
  <w:style w:type="character" w:styleId="Emphasis">
    <w:name w:val="Emphasis"/>
    <w:basedOn w:val="DefaultParagraphFont"/>
    <w:uiPriority w:val="20"/>
    <w:qFormat/>
    <w:rsid w:val="003A7A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3495236">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58773709">
      <w:bodyDiv w:val="1"/>
      <w:marLeft w:val="0"/>
      <w:marRight w:val="0"/>
      <w:marTop w:val="0"/>
      <w:marBottom w:val="0"/>
      <w:divBdr>
        <w:top w:val="none" w:sz="0" w:space="0" w:color="auto"/>
        <w:left w:val="none" w:sz="0" w:space="0" w:color="auto"/>
        <w:bottom w:val="none" w:sz="0" w:space="0" w:color="auto"/>
        <w:right w:val="none" w:sz="0" w:space="0" w:color="auto"/>
      </w:divBdr>
      <w:divsChild>
        <w:div w:id="450905898">
          <w:marLeft w:val="0"/>
          <w:marRight w:val="0"/>
          <w:marTop w:val="0"/>
          <w:marBottom w:val="0"/>
          <w:divBdr>
            <w:top w:val="none" w:sz="0" w:space="0" w:color="auto"/>
            <w:left w:val="none" w:sz="0" w:space="0" w:color="auto"/>
            <w:bottom w:val="none" w:sz="0" w:space="0" w:color="auto"/>
            <w:right w:val="none" w:sz="0" w:space="0" w:color="auto"/>
          </w:divBdr>
        </w:div>
        <w:div w:id="840894682">
          <w:marLeft w:val="0"/>
          <w:marRight w:val="0"/>
          <w:marTop w:val="0"/>
          <w:marBottom w:val="0"/>
          <w:divBdr>
            <w:top w:val="none" w:sz="0" w:space="0" w:color="auto"/>
            <w:left w:val="none" w:sz="0" w:space="0" w:color="auto"/>
            <w:bottom w:val="none" w:sz="0" w:space="0" w:color="auto"/>
            <w:right w:val="none" w:sz="0" w:space="0" w:color="auto"/>
          </w:divBdr>
        </w:div>
        <w:div w:id="764157050">
          <w:marLeft w:val="0"/>
          <w:marRight w:val="0"/>
          <w:marTop w:val="0"/>
          <w:marBottom w:val="0"/>
          <w:divBdr>
            <w:top w:val="none" w:sz="0" w:space="0" w:color="auto"/>
            <w:left w:val="none" w:sz="0" w:space="0" w:color="auto"/>
            <w:bottom w:val="none" w:sz="0" w:space="0" w:color="auto"/>
            <w:right w:val="none" w:sz="0" w:space="0" w:color="auto"/>
          </w:divBdr>
        </w:div>
        <w:div w:id="268128419">
          <w:marLeft w:val="0"/>
          <w:marRight w:val="0"/>
          <w:marTop w:val="0"/>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05286502">
      <w:bodyDiv w:val="1"/>
      <w:marLeft w:val="0"/>
      <w:marRight w:val="0"/>
      <w:marTop w:val="0"/>
      <w:marBottom w:val="0"/>
      <w:divBdr>
        <w:top w:val="none" w:sz="0" w:space="0" w:color="auto"/>
        <w:left w:val="none" w:sz="0" w:space="0" w:color="auto"/>
        <w:bottom w:val="none" w:sz="0" w:space="0" w:color="auto"/>
        <w:right w:val="none" w:sz="0" w:space="0" w:color="auto"/>
      </w:divBdr>
    </w:div>
    <w:div w:id="527524255">
      <w:bodyDiv w:val="1"/>
      <w:marLeft w:val="0"/>
      <w:marRight w:val="0"/>
      <w:marTop w:val="0"/>
      <w:marBottom w:val="0"/>
      <w:divBdr>
        <w:top w:val="none" w:sz="0" w:space="0" w:color="auto"/>
        <w:left w:val="none" w:sz="0" w:space="0" w:color="auto"/>
        <w:bottom w:val="none" w:sz="0" w:space="0" w:color="auto"/>
        <w:right w:val="none" w:sz="0" w:space="0" w:color="auto"/>
      </w:divBdr>
    </w:div>
    <w:div w:id="559439324">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431607">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825587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73406570">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67297894">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30379001">
      <w:bodyDiv w:val="1"/>
      <w:marLeft w:val="0"/>
      <w:marRight w:val="0"/>
      <w:marTop w:val="0"/>
      <w:marBottom w:val="0"/>
      <w:divBdr>
        <w:top w:val="none" w:sz="0" w:space="0" w:color="auto"/>
        <w:left w:val="none" w:sz="0" w:space="0" w:color="auto"/>
        <w:bottom w:val="none" w:sz="0" w:space="0" w:color="auto"/>
        <w:right w:val="none" w:sz="0" w:space="0" w:color="auto"/>
      </w:divBdr>
    </w:div>
    <w:div w:id="1731613679">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33644481">
      <w:bodyDiv w:val="1"/>
      <w:marLeft w:val="0"/>
      <w:marRight w:val="0"/>
      <w:marTop w:val="0"/>
      <w:marBottom w:val="0"/>
      <w:divBdr>
        <w:top w:val="none" w:sz="0" w:space="0" w:color="auto"/>
        <w:left w:val="none" w:sz="0" w:space="0" w:color="auto"/>
        <w:bottom w:val="none" w:sz="0" w:space="0" w:color="auto"/>
        <w:right w:val="none" w:sz="0" w:space="0" w:color="auto"/>
      </w:divBdr>
      <w:divsChild>
        <w:div w:id="1200557581">
          <w:marLeft w:val="0"/>
          <w:marRight w:val="0"/>
          <w:marTop w:val="0"/>
          <w:marBottom w:val="0"/>
          <w:divBdr>
            <w:top w:val="none" w:sz="0" w:space="0" w:color="auto"/>
            <w:left w:val="none" w:sz="0" w:space="0" w:color="auto"/>
            <w:bottom w:val="none" w:sz="0" w:space="0" w:color="auto"/>
            <w:right w:val="none" w:sz="0" w:space="0" w:color="auto"/>
          </w:divBdr>
        </w:div>
        <w:div w:id="126358922">
          <w:marLeft w:val="0"/>
          <w:marRight w:val="0"/>
          <w:marTop w:val="0"/>
          <w:marBottom w:val="0"/>
          <w:divBdr>
            <w:top w:val="none" w:sz="0" w:space="0" w:color="auto"/>
            <w:left w:val="none" w:sz="0" w:space="0" w:color="auto"/>
            <w:bottom w:val="none" w:sz="0" w:space="0" w:color="auto"/>
            <w:right w:val="none" w:sz="0" w:space="0" w:color="auto"/>
          </w:divBdr>
        </w:div>
        <w:div w:id="1813867401">
          <w:marLeft w:val="0"/>
          <w:marRight w:val="0"/>
          <w:marTop w:val="0"/>
          <w:marBottom w:val="0"/>
          <w:divBdr>
            <w:top w:val="none" w:sz="0" w:space="0" w:color="auto"/>
            <w:left w:val="none" w:sz="0" w:space="0" w:color="auto"/>
            <w:bottom w:val="none" w:sz="0" w:space="0" w:color="auto"/>
            <w:right w:val="none" w:sz="0" w:space="0" w:color="auto"/>
          </w:divBdr>
        </w:div>
        <w:div w:id="126435642">
          <w:marLeft w:val="0"/>
          <w:marRight w:val="0"/>
          <w:marTop w:val="0"/>
          <w:marBottom w:val="0"/>
          <w:divBdr>
            <w:top w:val="none" w:sz="0" w:space="0" w:color="auto"/>
            <w:left w:val="none" w:sz="0" w:space="0" w:color="auto"/>
            <w:bottom w:val="none" w:sz="0" w:space="0" w:color="auto"/>
            <w:right w:val="none" w:sz="0" w:space="0" w:color="auto"/>
          </w:divBdr>
        </w:div>
      </w:divsChild>
    </w:div>
    <w:div w:id="1840653985">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19655010">
      <w:bodyDiv w:val="1"/>
      <w:marLeft w:val="0"/>
      <w:marRight w:val="0"/>
      <w:marTop w:val="0"/>
      <w:marBottom w:val="0"/>
      <w:divBdr>
        <w:top w:val="none" w:sz="0" w:space="0" w:color="auto"/>
        <w:left w:val="none" w:sz="0" w:space="0" w:color="auto"/>
        <w:bottom w:val="none" w:sz="0" w:space="0" w:color="auto"/>
        <w:right w:val="none" w:sz="0" w:space="0" w:color="auto"/>
      </w:divBdr>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urrent/title-47/section-2.1204" TargetMode="External"/><Relationship Id="rId18" Type="http://schemas.openxmlformats.org/officeDocument/2006/relationships/hyperlink" Target="https://www.ecfr.gov/current/title-47/section-25.202" TargetMode="External"/><Relationship Id="rId26" Type="http://schemas.openxmlformats.org/officeDocument/2006/relationships/hyperlink" Target="https://www.ecfr.gov/current/title-47/section-1.1310" TargetMode="External"/><Relationship Id="rId39" Type="http://schemas.openxmlformats.org/officeDocument/2006/relationships/image" Target="media/image1.emf"/><Relationship Id="rId21" Type="http://schemas.openxmlformats.org/officeDocument/2006/relationships/hyperlink" Target="https://www.ecfr.gov/current/title-47/section-25.216" TargetMode="External"/><Relationship Id="rId34" Type="http://schemas.openxmlformats.org/officeDocument/2006/relationships/hyperlink" Target="https://www.law.cornell.edu/definitions/index.php?width=840&amp;height=800&amp;iframe=true&amp;def_id=adad3e3ab703029a95043d37ac4f33ee&amp;term_occur=999&amp;term_src=Title:47:Chapter:I:Subchapter:A:Part:2:Subpart:A:2.1" TargetMode="External"/><Relationship Id="rId42" Type="http://schemas.openxmlformats.org/officeDocument/2006/relationships/image" Target="media/image3.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cfr.gov/current/title-47/section-2.1033" TargetMode="External"/><Relationship Id="rId29" Type="http://schemas.openxmlformats.org/officeDocument/2006/relationships/hyperlink" Target="https://www.ecfr.gov/current/title-47/section-2.1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7/section-25.129" TargetMode="External"/><Relationship Id="rId24" Type="http://schemas.openxmlformats.org/officeDocument/2006/relationships/hyperlink" Target="https://www.ecfr.gov/current/title-47/section-2.1091" TargetMode="External"/><Relationship Id="rId32" Type="http://schemas.openxmlformats.org/officeDocument/2006/relationships/hyperlink" Target="https://www.ecfr.gov/current/title-47/section-25.202" TargetMode="External"/><Relationship Id="rId37" Type="http://schemas.openxmlformats.org/officeDocument/2006/relationships/hyperlink" Target="https://www.law.cornell.edu/definitions/index.php?width=840&amp;height=800&amp;iframe=true&amp;def_id=b226b60c1c081257182ca9da59ba7922&amp;term_occur=999&amp;term_src=Title:47:Chapter:I:Subchapter:A:Part:2:Subpart:A:2.1" TargetMode="External"/><Relationship Id="rId40" Type="http://schemas.openxmlformats.org/officeDocument/2006/relationships/package" Target="embeddings/Microsoft_Visio_Drawing.vsdx"/><Relationship Id="rId45"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hyperlink" Target="https://www.ecfr.gov/current/title-47/section-2.1093" TargetMode="External"/><Relationship Id="rId23" Type="http://schemas.openxmlformats.org/officeDocument/2006/relationships/hyperlink" Target="https://www.ecfr.gov/current/title-47/section-1.1307" TargetMode="External"/><Relationship Id="rId28" Type="http://schemas.openxmlformats.org/officeDocument/2006/relationships/hyperlink" Target="https://www.ecfr.gov/current/title-47/section-25.114" TargetMode="External"/><Relationship Id="rId36" Type="http://schemas.openxmlformats.org/officeDocument/2006/relationships/hyperlink" Target="https://www.law.cornell.edu/definitions/index.php?width=840&amp;height=800&amp;iframe=true&amp;def_id=fd13630f2f5a349e8a298e8fd2eb1515&amp;term_occur=999&amp;term_src=Title:47:Chapter:I:Subchapter:A:Part:2:Subpart:A:2.1" TargetMode="External"/><Relationship Id="rId10" Type="http://schemas.openxmlformats.org/officeDocument/2006/relationships/endnotes" Target="endnotes.xml"/><Relationship Id="rId19" Type="http://schemas.openxmlformats.org/officeDocument/2006/relationships/hyperlink" Target="https://www.ecfr.gov/current/title-47/section-25.204" TargetMode="External"/><Relationship Id="rId31" Type="http://schemas.openxmlformats.org/officeDocument/2006/relationships/hyperlink" Target="https://www.ecfr.gov/current/title-47/section-25.202" TargetMode="External"/><Relationship Id="rId44"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part-2/subpart-J" TargetMode="External"/><Relationship Id="rId22" Type="http://schemas.openxmlformats.org/officeDocument/2006/relationships/hyperlink" Target="https://www.ecfr.gov/current/title-47/section-25.285" TargetMode="External"/><Relationship Id="rId27" Type="http://schemas.openxmlformats.org/officeDocument/2006/relationships/hyperlink" Target="https://www.ecfr.gov/current/title-47/section-25.142" TargetMode="External"/><Relationship Id="rId30" Type="http://schemas.openxmlformats.org/officeDocument/2006/relationships/hyperlink" Target="https://www.ecfr.gov/current/title-47/section-25.202" TargetMode="External"/><Relationship Id="rId35" Type="http://schemas.openxmlformats.org/officeDocument/2006/relationships/hyperlink" Target="https://www.law.cornell.edu/definitions/index.php?width=840&amp;height=800&amp;iframe=true&amp;def_id=aecb67044b70871821b19b18b90c74ba&amp;term_occur=999&amp;term_src=Title:47:Chapter:I:Subchapter:A:Part:2:Subpart:A:2.1" TargetMode="External"/><Relationship Id="rId43" Type="http://schemas.openxmlformats.org/officeDocument/2006/relationships/image" Target="media/image4.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cfr.gov/current/title-47/section-2.803" TargetMode="External"/><Relationship Id="rId17" Type="http://schemas.openxmlformats.org/officeDocument/2006/relationships/hyperlink" Target="https://www.ecfr.gov/current/title-47/section-25.138" TargetMode="External"/><Relationship Id="rId25" Type="http://schemas.openxmlformats.org/officeDocument/2006/relationships/hyperlink" Target="https://www.ecfr.gov/current/title-47/section-2.1093" TargetMode="External"/><Relationship Id="rId33" Type="http://schemas.openxmlformats.org/officeDocument/2006/relationships/hyperlink" Target="https://www.law.cornell.edu/definitions/index.php?width=840&amp;height=800&amp;iframe=true&amp;def_id=8930c86e442cbf61bf7b36f6fdce7d9c&amp;term_occur=999&amp;term_src=Title:47:Chapter:I:Subchapter:A:Part:2:Subpart:A:2.1" TargetMode="External"/><Relationship Id="rId38" Type="http://schemas.openxmlformats.org/officeDocument/2006/relationships/hyperlink" Target="https://www.law.cornell.edu/definitions/index.php?width=840&amp;height=800&amp;iframe=true&amp;def_id=d748ce4ea46439c70c9946f1c698512f&amp;term_occur=999&amp;term_src=Title:47:Chapter:I:Subchapter:A:Part:2:Subpart:A:2.1" TargetMode="External"/><Relationship Id="rId46" Type="http://schemas.openxmlformats.org/officeDocument/2006/relationships/fontTable" Target="fontTable.xml"/><Relationship Id="rId20" Type="http://schemas.openxmlformats.org/officeDocument/2006/relationships/hyperlink" Target="https://www.ecfr.gov/current/title-47/section-25.209" TargetMode="External"/><Relationship Id="rId4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9b239327-9e80-40e4-b1b7-4394fed77a33"/>
    <ds:schemaRef ds:uri="d8762117-8292-4133-b1c7-eab5c6487cfd"/>
    <ds:schemaRef ds:uri="2f282d3b-eb4a-4b09-b61f-b9593442e286"/>
    <ds:schemaRef ds:uri="http://purl.org/dc/terms/"/>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22</TotalTime>
  <Pages>8</Pages>
  <Words>2541</Words>
  <Characters>17510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20011</CharactersWithSpaces>
  <SharedDoc>false</SharedDoc>
  <HLinks>
    <vt:vector size="6" baseType="variant">
      <vt:variant>
        <vt:i4>4194347</vt:i4>
      </vt:variant>
      <vt:variant>
        <vt:i4>0</vt:i4>
      </vt:variant>
      <vt:variant>
        <vt:i4>0</vt:i4>
      </vt:variant>
      <vt:variant>
        <vt:i4>5</vt:i4>
      </vt:variant>
      <vt:variant>
        <vt:lpwstr>mailto:dominique.everaere@ericsson.com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18</cp:revision>
  <cp:lastPrinted>2021-10-12T10:12:00Z</cp:lastPrinted>
  <dcterms:created xsi:type="dcterms:W3CDTF">2022-11-07T16:10:00Z</dcterms:created>
  <dcterms:modified xsi:type="dcterms:W3CDTF">2022-11-07T18:00:00Z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